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59A7" w14:textId="2A14EBFB" w:rsidR="001D6174" w:rsidRDefault="001D6174" w:rsidP="001D6174">
      <w:pPr>
        <w:jc w:val="both"/>
      </w:pPr>
      <w:bookmarkStart w:id="0" w:name="_Hlk206660235"/>
      <w:r>
        <w:t>Na temelju članka 215. stavka 6. Pravilnika o proračunskom računovodstvu i računskom planu (</w:t>
      </w:r>
      <w:r w:rsidR="00D87C64">
        <w:t>„</w:t>
      </w:r>
      <w:r>
        <w:t>Narodne novine</w:t>
      </w:r>
      <w:r w:rsidR="00D87C64">
        <w:t>“</w:t>
      </w:r>
      <w:r>
        <w:t>, broj 158/23 i 154/24) i članka 30. Statuta Općine Sikirevci („Službeni vjesnik Brodsko-posavske županije“ br. 11/21 i „Službeni glasnik Općine Sikirevci“ br. 1/22,</w:t>
      </w:r>
      <w:r w:rsidR="00D87C64">
        <w:t xml:space="preserve"> </w:t>
      </w:r>
      <w:r>
        <w:t xml:space="preserve">7/23), Općinsko vijeće Općine Sikirevci na svojoj </w:t>
      </w:r>
      <w:r w:rsidR="00D87C64">
        <w:t xml:space="preserve">3. </w:t>
      </w:r>
      <w:r>
        <w:t xml:space="preserve">sjednici održanoj </w:t>
      </w:r>
      <w:r w:rsidR="00544A3A">
        <w:t>dana</w:t>
      </w:r>
      <w:r w:rsidR="00D87C64">
        <w:t xml:space="preserve"> 13. kolovoza</w:t>
      </w:r>
      <w:r>
        <w:t xml:space="preserve"> 2025. godine, donosi</w:t>
      </w:r>
      <w:r w:rsidR="004C7AE9">
        <w:t xml:space="preserve"> </w:t>
      </w:r>
    </w:p>
    <w:p w14:paraId="4740FA97" w14:textId="22DA40DC" w:rsidR="001D6174" w:rsidRPr="001D6174" w:rsidRDefault="001D6174" w:rsidP="001D6174">
      <w:pPr>
        <w:jc w:val="center"/>
        <w:rPr>
          <w:b/>
          <w:bCs/>
        </w:rPr>
      </w:pPr>
      <w:r w:rsidRPr="001D6174">
        <w:rPr>
          <w:b/>
          <w:bCs/>
        </w:rPr>
        <w:t>ODLUKU O RASPODJELI REZULTATA POSLOVANJA ZA 2024. GODINU</w:t>
      </w:r>
    </w:p>
    <w:p w14:paraId="0132D3E9" w14:textId="574372C1" w:rsidR="001D6174" w:rsidRDefault="001D6174" w:rsidP="001D6174">
      <w:pPr>
        <w:jc w:val="center"/>
      </w:pPr>
      <w:r>
        <w:t>Članak 1.</w:t>
      </w:r>
    </w:p>
    <w:p w14:paraId="6DAE16D7" w14:textId="06B7BDC8" w:rsidR="00EC5E11" w:rsidRDefault="00EC5E11" w:rsidP="00FB38B7">
      <w:pPr>
        <w:ind w:firstLine="708"/>
        <w:jc w:val="both"/>
      </w:pPr>
      <w:r>
        <w:t xml:space="preserve">Tijekom 2024. godine u proračunu Općine Sikirevci ostvaren je negativan rezultat poslovanja u iznosu od 39.569,94 eura, a utvrđen je na način kako je to propisano člancima 81 i 82 Pravilnika o proračunskom računovodstvu i računskom planu (NN RH 124/14., 115/15., 87/16., 3/18., 126/19. i 108/20.). </w:t>
      </w:r>
    </w:p>
    <w:p w14:paraId="25F1EE60" w14:textId="29F6EEC5" w:rsidR="0052680E" w:rsidRDefault="001D6174" w:rsidP="00FB38B7">
      <w:pPr>
        <w:ind w:firstLine="708"/>
        <w:jc w:val="both"/>
      </w:pPr>
      <w:r>
        <w:t>Stanja na osnovnim računima podskupine 922 iskazanog u bilanci na dan 31.12.2024. godine, utvrđena su kako slijedi:</w:t>
      </w:r>
    </w:p>
    <w:tbl>
      <w:tblPr>
        <w:tblStyle w:val="Reetkatablice"/>
        <w:tblW w:w="0" w:type="auto"/>
        <w:tblLook w:val="04A0" w:firstRow="1" w:lastRow="0" w:firstColumn="1" w:lastColumn="0" w:noHBand="0" w:noVBand="1"/>
      </w:tblPr>
      <w:tblGrid>
        <w:gridCol w:w="1696"/>
        <w:gridCol w:w="5387"/>
        <w:gridCol w:w="1979"/>
      </w:tblGrid>
      <w:tr w:rsidR="001D6174" w14:paraId="2CC022B0" w14:textId="77777777" w:rsidTr="001D6174">
        <w:tc>
          <w:tcPr>
            <w:tcW w:w="1696" w:type="dxa"/>
          </w:tcPr>
          <w:p w14:paraId="478DB4CA" w14:textId="6D423BFE" w:rsidR="001D6174" w:rsidRPr="001D6174" w:rsidRDefault="001D6174" w:rsidP="001D6174">
            <w:pPr>
              <w:jc w:val="both"/>
              <w:rPr>
                <w:b/>
                <w:bCs/>
              </w:rPr>
            </w:pPr>
            <w:r w:rsidRPr="001D6174">
              <w:rPr>
                <w:b/>
                <w:bCs/>
              </w:rPr>
              <w:t>Broj računa</w:t>
            </w:r>
          </w:p>
        </w:tc>
        <w:tc>
          <w:tcPr>
            <w:tcW w:w="5387" w:type="dxa"/>
          </w:tcPr>
          <w:p w14:paraId="225D7789" w14:textId="6D428F08" w:rsidR="001D6174" w:rsidRPr="001D6174" w:rsidRDefault="001D6174" w:rsidP="001D6174">
            <w:pPr>
              <w:jc w:val="center"/>
              <w:rPr>
                <w:b/>
                <w:bCs/>
              </w:rPr>
            </w:pPr>
            <w:r w:rsidRPr="001D6174">
              <w:rPr>
                <w:b/>
                <w:bCs/>
              </w:rPr>
              <w:t>Naziv računa</w:t>
            </w:r>
          </w:p>
        </w:tc>
        <w:tc>
          <w:tcPr>
            <w:tcW w:w="1979" w:type="dxa"/>
          </w:tcPr>
          <w:p w14:paraId="76BF878D" w14:textId="7B9D0719" w:rsidR="001D6174" w:rsidRPr="001D6174" w:rsidRDefault="001D6174" w:rsidP="001D6174">
            <w:pPr>
              <w:jc w:val="right"/>
              <w:rPr>
                <w:b/>
                <w:bCs/>
              </w:rPr>
            </w:pPr>
            <w:r w:rsidRPr="001D6174">
              <w:rPr>
                <w:b/>
                <w:bCs/>
              </w:rPr>
              <w:t>Iznos €</w:t>
            </w:r>
          </w:p>
        </w:tc>
      </w:tr>
      <w:tr w:rsidR="001D6174" w14:paraId="1CD760EC" w14:textId="77777777" w:rsidTr="001D6174">
        <w:tc>
          <w:tcPr>
            <w:tcW w:w="1696" w:type="dxa"/>
          </w:tcPr>
          <w:p w14:paraId="61FF7428" w14:textId="6D508358" w:rsidR="001D6174" w:rsidRDefault="001D6174" w:rsidP="001D6174">
            <w:pPr>
              <w:jc w:val="both"/>
            </w:pPr>
            <w:r>
              <w:t>92211</w:t>
            </w:r>
          </w:p>
        </w:tc>
        <w:tc>
          <w:tcPr>
            <w:tcW w:w="5387" w:type="dxa"/>
          </w:tcPr>
          <w:p w14:paraId="2018018B" w14:textId="62A151F1" w:rsidR="001D6174" w:rsidRDefault="001D6174" w:rsidP="001D6174">
            <w:pPr>
              <w:jc w:val="both"/>
            </w:pPr>
            <w:r>
              <w:t>Višak prihoda poslovanja</w:t>
            </w:r>
          </w:p>
        </w:tc>
        <w:tc>
          <w:tcPr>
            <w:tcW w:w="1979" w:type="dxa"/>
          </w:tcPr>
          <w:p w14:paraId="53FFF142" w14:textId="0CFBB8D3" w:rsidR="001D6174" w:rsidRDefault="00B21485" w:rsidP="001D6174">
            <w:pPr>
              <w:jc w:val="right"/>
            </w:pPr>
            <w:r>
              <w:t>3.411.964,60</w:t>
            </w:r>
          </w:p>
        </w:tc>
      </w:tr>
      <w:tr w:rsidR="00432D7E" w14:paraId="2F4656F7" w14:textId="77777777" w:rsidTr="001D6174">
        <w:tc>
          <w:tcPr>
            <w:tcW w:w="1696" w:type="dxa"/>
          </w:tcPr>
          <w:p w14:paraId="6343C745" w14:textId="0938EC5F" w:rsidR="00432D7E" w:rsidRDefault="00432D7E" w:rsidP="001D6174">
            <w:pPr>
              <w:jc w:val="both"/>
            </w:pPr>
            <w:r>
              <w:t>92213</w:t>
            </w:r>
          </w:p>
        </w:tc>
        <w:tc>
          <w:tcPr>
            <w:tcW w:w="5387" w:type="dxa"/>
          </w:tcPr>
          <w:p w14:paraId="3A40954F" w14:textId="7BA20240" w:rsidR="00432D7E" w:rsidRDefault="00432D7E" w:rsidP="001D6174">
            <w:pPr>
              <w:jc w:val="both"/>
            </w:pPr>
            <w:r>
              <w:t>Višak primitaka od financijske imovine</w:t>
            </w:r>
          </w:p>
        </w:tc>
        <w:tc>
          <w:tcPr>
            <w:tcW w:w="1979" w:type="dxa"/>
          </w:tcPr>
          <w:p w14:paraId="5AACB91C" w14:textId="7FAF530F" w:rsidR="00432D7E" w:rsidRDefault="00432D7E" w:rsidP="001D6174">
            <w:pPr>
              <w:jc w:val="right"/>
            </w:pPr>
            <w:r>
              <w:t>6,84</w:t>
            </w:r>
          </w:p>
        </w:tc>
      </w:tr>
      <w:tr w:rsidR="001D6174" w14:paraId="1D46F83A" w14:textId="77777777" w:rsidTr="001D6174">
        <w:tc>
          <w:tcPr>
            <w:tcW w:w="1696" w:type="dxa"/>
          </w:tcPr>
          <w:p w14:paraId="0482CDE6" w14:textId="00E05399" w:rsidR="001D6174" w:rsidRDefault="001D6174" w:rsidP="001D6174">
            <w:pPr>
              <w:jc w:val="both"/>
            </w:pPr>
            <w:r>
              <w:t>92222</w:t>
            </w:r>
          </w:p>
        </w:tc>
        <w:tc>
          <w:tcPr>
            <w:tcW w:w="5387" w:type="dxa"/>
          </w:tcPr>
          <w:p w14:paraId="29219439" w14:textId="2B0E0C35" w:rsidR="001D6174" w:rsidRDefault="001D6174" w:rsidP="001D6174">
            <w:pPr>
              <w:jc w:val="both"/>
            </w:pPr>
            <w:r>
              <w:t>Manjak prihoda od nefinancijske imovine</w:t>
            </w:r>
          </w:p>
        </w:tc>
        <w:tc>
          <w:tcPr>
            <w:tcW w:w="1979" w:type="dxa"/>
          </w:tcPr>
          <w:p w14:paraId="084013DF" w14:textId="56E12E38" w:rsidR="001D6174" w:rsidRDefault="00B21485" w:rsidP="001D6174">
            <w:pPr>
              <w:jc w:val="right"/>
            </w:pPr>
            <w:r>
              <w:t>-</w:t>
            </w:r>
            <w:r w:rsidR="001D6174">
              <w:t>3.526.760,18</w:t>
            </w:r>
          </w:p>
        </w:tc>
      </w:tr>
      <w:tr w:rsidR="001D6174" w14:paraId="75DFA56C" w14:textId="77777777" w:rsidTr="001D6174">
        <w:tc>
          <w:tcPr>
            <w:tcW w:w="1696" w:type="dxa"/>
          </w:tcPr>
          <w:p w14:paraId="676BB133" w14:textId="77777777" w:rsidR="001D6174" w:rsidRDefault="001D6174" w:rsidP="001D6174">
            <w:pPr>
              <w:jc w:val="both"/>
            </w:pPr>
          </w:p>
        </w:tc>
        <w:tc>
          <w:tcPr>
            <w:tcW w:w="5387" w:type="dxa"/>
          </w:tcPr>
          <w:p w14:paraId="2979E179" w14:textId="77F505EC" w:rsidR="001D6174" w:rsidRDefault="001D6174" w:rsidP="001D6174">
            <w:pPr>
              <w:jc w:val="both"/>
            </w:pPr>
            <w:r>
              <w:t>UKUPAN REZULTAT (manjak)</w:t>
            </w:r>
          </w:p>
        </w:tc>
        <w:tc>
          <w:tcPr>
            <w:tcW w:w="1979" w:type="dxa"/>
          </w:tcPr>
          <w:p w14:paraId="43CBA0AB" w14:textId="24F2B043" w:rsidR="001D6174" w:rsidRDefault="001D6174" w:rsidP="001D6174">
            <w:pPr>
              <w:jc w:val="right"/>
            </w:pPr>
            <w:r>
              <w:t>-</w:t>
            </w:r>
            <w:r w:rsidR="00B21485">
              <w:t>114.788,74</w:t>
            </w:r>
          </w:p>
        </w:tc>
      </w:tr>
    </w:tbl>
    <w:p w14:paraId="0B29A249" w14:textId="77777777" w:rsidR="001D6174" w:rsidRDefault="001D6174" w:rsidP="001D6174">
      <w:pPr>
        <w:jc w:val="both"/>
      </w:pPr>
    </w:p>
    <w:p w14:paraId="0CD6B17E" w14:textId="2363EB2B" w:rsidR="001D6174" w:rsidRDefault="001D6174" w:rsidP="001D6174">
      <w:pPr>
        <w:jc w:val="center"/>
      </w:pPr>
      <w:r>
        <w:t>Članak 2.</w:t>
      </w:r>
    </w:p>
    <w:p w14:paraId="71639DB7" w14:textId="6EA37DA3" w:rsidR="001D6174" w:rsidRDefault="001D6174" w:rsidP="00FB38B7">
      <w:pPr>
        <w:ind w:firstLine="708"/>
        <w:jc w:val="both"/>
      </w:pPr>
      <w:r>
        <w:t>Utvrđeni višak prihoda poslovanja na računu 92211 u iznosu od 3.411.964,60 EUR iskazan prema izvorima financiranja je slijedeći:</w:t>
      </w:r>
    </w:p>
    <w:tbl>
      <w:tblPr>
        <w:tblStyle w:val="Reetkatablice"/>
        <w:tblW w:w="0" w:type="auto"/>
        <w:tblLook w:val="04A0" w:firstRow="1" w:lastRow="0" w:firstColumn="1" w:lastColumn="0" w:noHBand="0" w:noVBand="1"/>
      </w:tblPr>
      <w:tblGrid>
        <w:gridCol w:w="7083"/>
        <w:gridCol w:w="1979"/>
      </w:tblGrid>
      <w:tr w:rsidR="001D6174" w14:paraId="1167A707" w14:textId="77777777" w:rsidTr="001D6174">
        <w:tc>
          <w:tcPr>
            <w:tcW w:w="7083" w:type="dxa"/>
          </w:tcPr>
          <w:p w14:paraId="05EEF354" w14:textId="4049CE8D" w:rsidR="001D6174" w:rsidRPr="001D6174" w:rsidRDefault="001D6174" w:rsidP="001D6174">
            <w:pPr>
              <w:jc w:val="center"/>
              <w:rPr>
                <w:b/>
                <w:bCs/>
              </w:rPr>
            </w:pPr>
            <w:r>
              <w:t>Naziv izvora financiranja</w:t>
            </w:r>
          </w:p>
        </w:tc>
        <w:tc>
          <w:tcPr>
            <w:tcW w:w="1979" w:type="dxa"/>
          </w:tcPr>
          <w:p w14:paraId="3AF984C7" w14:textId="7BFBDFAE" w:rsidR="001D6174" w:rsidRPr="001D6174" w:rsidRDefault="001D6174" w:rsidP="001D6174">
            <w:pPr>
              <w:jc w:val="right"/>
              <w:rPr>
                <w:b/>
                <w:bCs/>
              </w:rPr>
            </w:pPr>
            <w:r w:rsidRPr="001D6174">
              <w:rPr>
                <w:b/>
                <w:bCs/>
              </w:rPr>
              <w:t>Iznos €</w:t>
            </w:r>
          </w:p>
        </w:tc>
      </w:tr>
      <w:tr w:rsidR="001D6174" w14:paraId="65C0BEEB" w14:textId="77777777" w:rsidTr="001D6174">
        <w:tc>
          <w:tcPr>
            <w:tcW w:w="7083" w:type="dxa"/>
          </w:tcPr>
          <w:p w14:paraId="507F7E20" w14:textId="05A319CA" w:rsidR="001D6174" w:rsidRDefault="001D6174" w:rsidP="001D6174">
            <w:pPr>
              <w:jc w:val="both"/>
            </w:pPr>
            <w:r>
              <w:t>Opći prihodi i primici (1)</w:t>
            </w:r>
          </w:p>
        </w:tc>
        <w:tc>
          <w:tcPr>
            <w:tcW w:w="1979" w:type="dxa"/>
          </w:tcPr>
          <w:p w14:paraId="46166F83" w14:textId="2A6B1C45" w:rsidR="001D6174" w:rsidRDefault="00DF4807" w:rsidP="001D6174">
            <w:pPr>
              <w:jc w:val="right"/>
            </w:pPr>
            <w:r>
              <w:t>2.809.730,90</w:t>
            </w:r>
          </w:p>
        </w:tc>
      </w:tr>
      <w:tr w:rsidR="001D6174" w14:paraId="162C59C7" w14:textId="77777777" w:rsidTr="001D6174">
        <w:tc>
          <w:tcPr>
            <w:tcW w:w="7083" w:type="dxa"/>
          </w:tcPr>
          <w:p w14:paraId="2E691E68" w14:textId="2DE62252" w:rsidR="001D6174" w:rsidRDefault="001D6174" w:rsidP="001D6174">
            <w:pPr>
              <w:jc w:val="both"/>
            </w:pPr>
            <w:r>
              <w:t xml:space="preserve">Prihodi </w:t>
            </w:r>
            <w:r w:rsidR="00DF4807">
              <w:t>za posebne namjene (42)</w:t>
            </w:r>
          </w:p>
        </w:tc>
        <w:tc>
          <w:tcPr>
            <w:tcW w:w="1979" w:type="dxa"/>
          </w:tcPr>
          <w:p w14:paraId="11C037E0" w14:textId="25804585" w:rsidR="001D6174" w:rsidRDefault="00DF4807" w:rsidP="001D6174">
            <w:pPr>
              <w:jc w:val="right"/>
            </w:pPr>
            <w:r>
              <w:t>-1.264,65</w:t>
            </w:r>
          </w:p>
        </w:tc>
      </w:tr>
      <w:tr w:rsidR="001D6174" w14:paraId="24BF3104" w14:textId="77777777" w:rsidTr="001D6174">
        <w:tc>
          <w:tcPr>
            <w:tcW w:w="7083" w:type="dxa"/>
          </w:tcPr>
          <w:p w14:paraId="3E7CF31F" w14:textId="57C29964" w:rsidR="001D6174" w:rsidRDefault="00DF4807" w:rsidP="001D6174">
            <w:pPr>
              <w:jc w:val="both"/>
            </w:pPr>
            <w:r>
              <w:t>Ostali prihodi za posebne namjene (43)</w:t>
            </w:r>
          </w:p>
        </w:tc>
        <w:tc>
          <w:tcPr>
            <w:tcW w:w="1979" w:type="dxa"/>
          </w:tcPr>
          <w:p w14:paraId="5A87BF35" w14:textId="7748FBB3" w:rsidR="001D6174" w:rsidRDefault="00DF4807" w:rsidP="001D6174">
            <w:pPr>
              <w:jc w:val="right"/>
            </w:pPr>
            <w:r>
              <w:t>-48.663,13</w:t>
            </w:r>
          </w:p>
        </w:tc>
      </w:tr>
      <w:tr w:rsidR="001D6174" w14:paraId="085419FB" w14:textId="77777777" w:rsidTr="001D6174">
        <w:tc>
          <w:tcPr>
            <w:tcW w:w="7083" w:type="dxa"/>
          </w:tcPr>
          <w:p w14:paraId="55C83B59" w14:textId="1B2F2979" w:rsidR="001D6174" w:rsidRDefault="00DF4807" w:rsidP="001D6174">
            <w:pPr>
              <w:jc w:val="both"/>
            </w:pPr>
            <w:r>
              <w:t>Tekuće pomoći (51)</w:t>
            </w:r>
          </w:p>
        </w:tc>
        <w:tc>
          <w:tcPr>
            <w:tcW w:w="1979" w:type="dxa"/>
          </w:tcPr>
          <w:p w14:paraId="7D999773" w14:textId="6A53C8D2" w:rsidR="001D6174" w:rsidRDefault="00DF4807" w:rsidP="001D6174">
            <w:pPr>
              <w:jc w:val="right"/>
            </w:pPr>
            <w:r>
              <w:t>-10.132,65</w:t>
            </w:r>
          </w:p>
        </w:tc>
      </w:tr>
      <w:tr w:rsidR="001D6174" w14:paraId="58D9B881" w14:textId="77777777" w:rsidTr="001D6174">
        <w:tc>
          <w:tcPr>
            <w:tcW w:w="7083" w:type="dxa"/>
          </w:tcPr>
          <w:p w14:paraId="1D7567C2" w14:textId="355F88AD" w:rsidR="001D6174" w:rsidRDefault="00DF4807" w:rsidP="001D6174">
            <w:pPr>
              <w:jc w:val="both"/>
            </w:pPr>
            <w:r>
              <w:t>Kapitalne pomoći (52)</w:t>
            </w:r>
          </w:p>
        </w:tc>
        <w:tc>
          <w:tcPr>
            <w:tcW w:w="1979" w:type="dxa"/>
          </w:tcPr>
          <w:p w14:paraId="3C1A5272" w14:textId="185D52F1" w:rsidR="001D6174" w:rsidRDefault="00DF4807" w:rsidP="001D6174">
            <w:pPr>
              <w:jc w:val="right"/>
            </w:pPr>
            <w:r>
              <w:t>386.759,72</w:t>
            </w:r>
          </w:p>
        </w:tc>
      </w:tr>
      <w:tr w:rsidR="00DF4807" w14:paraId="42F0F65A" w14:textId="77777777" w:rsidTr="001D6174">
        <w:tc>
          <w:tcPr>
            <w:tcW w:w="7083" w:type="dxa"/>
          </w:tcPr>
          <w:p w14:paraId="1F4737BE" w14:textId="09C943EB" w:rsidR="00DF4807" w:rsidRDefault="00DF4807" w:rsidP="001D6174">
            <w:pPr>
              <w:jc w:val="both"/>
            </w:pPr>
            <w:r>
              <w:t>Pomoći iz fondova EU (54)</w:t>
            </w:r>
          </w:p>
        </w:tc>
        <w:tc>
          <w:tcPr>
            <w:tcW w:w="1979" w:type="dxa"/>
          </w:tcPr>
          <w:p w14:paraId="0A323391" w14:textId="2E7ACCCA" w:rsidR="00DF4807" w:rsidRDefault="00DF4807" w:rsidP="001D6174">
            <w:pPr>
              <w:jc w:val="right"/>
            </w:pPr>
            <w:r>
              <w:t>276.393,94</w:t>
            </w:r>
          </w:p>
        </w:tc>
      </w:tr>
      <w:tr w:rsidR="00DF4807" w14:paraId="6422F727" w14:textId="77777777" w:rsidTr="001D6174">
        <w:tc>
          <w:tcPr>
            <w:tcW w:w="7083" w:type="dxa"/>
          </w:tcPr>
          <w:p w14:paraId="68938ECB" w14:textId="2DF895AD" w:rsidR="00DF4807" w:rsidRDefault="00DF4807" w:rsidP="001D6174">
            <w:pPr>
              <w:jc w:val="both"/>
            </w:pPr>
            <w:r>
              <w:t>Prihodi od prodaje neproizvedene dugotrajne imovine (71)</w:t>
            </w:r>
          </w:p>
        </w:tc>
        <w:tc>
          <w:tcPr>
            <w:tcW w:w="1979" w:type="dxa"/>
          </w:tcPr>
          <w:p w14:paraId="7FD9DDE8" w14:textId="1475A5A4" w:rsidR="00DF4807" w:rsidRDefault="00DF4807" w:rsidP="001D6174">
            <w:pPr>
              <w:jc w:val="right"/>
            </w:pPr>
            <w:r>
              <w:t>-1.405,53</w:t>
            </w:r>
          </w:p>
        </w:tc>
      </w:tr>
    </w:tbl>
    <w:p w14:paraId="7CF3A1BA" w14:textId="77777777" w:rsidR="000A2C1B" w:rsidRDefault="000A2C1B" w:rsidP="000A2C1B">
      <w:pPr>
        <w:ind w:firstLine="708"/>
        <w:jc w:val="both"/>
      </w:pPr>
    </w:p>
    <w:p w14:paraId="69753DCC" w14:textId="2CB041C2" w:rsidR="000A2C1B" w:rsidRDefault="000A2C1B" w:rsidP="000A2C1B">
      <w:pPr>
        <w:ind w:firstLine="708"/>
        <w:jc w:val="both"/>
      </w:pPr>
      <w:r>
        <w:t>Utvrđeni višak primitaka od financijske imovine  na računu 92231 u iznosu od 6,84 EUR iskazan prema izvorima financiranja je slijedeći:</w:t>
      </w:r>
    </w:p>
    <w:tbl>
      <w:tblPr>
        <w:tblStyle w:val="Reetkatablice"/>
        <w:tblW w:w="0" w:type="auto"/>
        <w:tblLook w:val="04A0" w:firstRow="1" w:lastRow="0" w:firstColumn="1" w:lastColumn="0" w:noHBand="0" w:noVBand="1"/>
      </w:tblPr>
      <w:tblGrid>
        <w:gridCol w:w="7083"/>
        <w:gridCol w:w="1979"/>
      </w:tblGrid>
      <w:tr w:rsidR="000A2C1B" w:rsidRPr="001D6174" w14:paraId="6C98F2D7" w14:textId="77777777" w:rsidTr="00077F08">
        <w:tc>
          <w:tcPr>
            <w:tcW w:w="7083" w:type="dxa"/>
          </w:tcPr>
          <w:p w14:paraId="7386426F" w14:textId="77777777" w:rsidR="000A2C1B" w:rsidRPr="001D6174" w:rsidRDefault="000A2C1B" w:rsidP="00077F08">
            <w:pPr>
              <w:jc w:val="center"/>
              <w:rPr>
                <w:b/>
                <w:bCs/>
              </w:rPr>
            </w:pPr>
            <w:r>
              <w:t>Naziv izvora financiranja</w:t>
            </w:r>
          </w:p>
        </w:tc>
        <w:tc>
          <w:tcPr>
            <w:tcW w:w="1979" w:type="dxa"/>
          </w:tcPr>
          <w:p w14:paraId="00AF9FFA" w14:textId="77777777" w:rsidR="000A2C1B" w:rsidRPr="001D6174" w:rsidRDefault="000A2C1B" w:rsidP="00077F08">
            <w:pPr>
              <w:jc w:val="right"/>
              <w:rPr>
                <w:b/>
                <w:bCs/>
              </w:rPr>
            </w:pPr>
            <w:r w:rsidRPr="001D6174">
              <w:rPr>
                <w:b/>
                <w:bCs/>
              </w:rPr>
              <w:t>Iznos €</w:t>
            </w:r>
          </w:p>
        </w:tc>
      </w:tr>
      <w:tr w:rsidR="000A2C1B" w14:paraId="09FB192D" w14:textId="77777777" w:rsidTr="00077F08">
        <w:tc>
          <w:tcPr>
            <w:tcW w:w="7083" w:type="dxa"/>
          </w:tcPr>
          <w:p w14:paraId="42A904B6" w14:textId="77777777" w:rsidR="000A2C1B" w:rsidRDefault="000A2C1B" w:rsidP="00077F08">
            <w:pPr>
              <w:jc w:val="both"/>
            </w:pPr>
            <w:r>
              <w:t>Opći prihodi i primici (1)</w:t>
            </w:r>
          </w:p>
        </w:tc>
        <w:tc>
          <w:tcPr>
            <w:tcW w:w="1979" w:type="dxa"/>
          </w:tcPr>
          <w:p w14:paraId="6926A0FE" w14:textId="0CEB623C" w:rsidR="000A2C1B" w:rsidRDefault="000A2C1B" w:rsidP="00077F08">
            <w:pPr>
              <w:jc w:val="right"/>
            </w:pPr>
            <w:r>
              <w:t>6,84</w:t>
            </w:r>
          </w:p>
        </w:tc>
      </w:tr>
    </w:tbl>
    <w:p w14:paraId="1C1184D0" w14:textId="77777777" w:rsidR="00DF4807" w:rsidRDefault="00DF4807" w:rsidP="001D6174">
      <w:pPr>
        <w:jc w:val="both"/>
      </w:pPr>
    </w:p>
    <w:p w14:paraId="369940E9" w14:textId="0ADD62D9" w:rsidR="009B3621" w:rsidRDefault="009B3621" w:rsidP="00FB38B7">
      <w:pPr>
        <w:ind w:firstLine="708"/>
        <w:jc w:val="both"/>
      </w:pPr>
      <w:r>
        <w:t>Utvrđeni manjak prihoda od nefinancijske imovine na računu 92222 u iznosu od 3.526.760,18 EUR iskazan prema izvorima financiranja je slijedeći:</w:t>
      </w:r>
    </w:p>
    <w:tbl>
      <w:tblPr>
        <w:tblStyle w:val="Reetkatablice"/>
        <w:tblW w:w="0" w:type="auto"/>
        <w:tblLook w:val="04A0" w:firstRow="1" w:lastRow="0" w:firstColumn="1" w:lastColumn="0" w:noHBand="0" w:noVBand="1"/>
      </w:tblPr>
      <w:tblGrid>
        <w:gridCol w:w="7083"/>
        <w:gridCol w:w="1979"/>
      </w:tblGrid>
      <w:tr w:rsidR="009B3621" w:rsidRPr="001D6174" w14:paraId="09ECDF5B" w14:textId="77777777" w:rsidTr="00077F08">
        <w:tc>
          <w:tcPr>
            <w:tcW w:w="7083" w:type="dxa"/>
          </w:tcPr>
          <w:p w14:paraId="0D952C8A" w14:textId="77777777" w:rsidR="009B3621" w:rsidRPr="001D6174" w:rsidRDefault="009B3621" w:rsidP="00077F08">
            <w:pPr>
              <w:jc w:val="center"/>
              <w:rPr>
                <w:b/>
                <w:bCs/>
              </w:rPr>
            </w:pPr>
            <w:r>
              <w:t>Naziv izvora financiranja</w:t>
            </w:r>
          </w:p>
        </w:tc>
        <w:tc>
          <w:tcPr>
            <w:tcW w:w="1979" w:type="dxa"/>
          </w:tcPr>
          <w:p w14:paraId="2EDA5B4A" w14:textId="77777777" w:rsidR="009B3621" w:rsidRPr="001D6174" w:rsidRDefault="009B3621" w:rsidP="00077F08">
            <w:pPr>
              <w:jc w:val="right"/>
              <w:rPr>
                <w:b/>
                <w:bCs/>
              </w:rPr>
            </w:pPr>
            <w:r w:rsidRPr="001D6174">
              <w:rPr>
                <w:b/>
                <w:bCs/>
              </w:rPr>
              <w:t>Iznos €</w:t>
            </w:r>
          </w:p>
        </w:tc>
      </w:tr>
      <w:tr w:rsidR="009B3621" w14:paraId="104A6A9F" w14:textId="77777777" w:rsidTr="00077F08">
        <w:tc>
          <w:tcPr>
            <w:tcW w:w="7083" w:type="dxa"/>
          </w:tcPr>
          <w:p w14:paraId="5F4165BF" w14:textId="77777777" w:rsidR="009B3621" w:rsidRDefault="009B3621" w:rsidP="00077F08">
            <w:pPr>
              <w:jc w:val="both"/>
            </w:pPr>
            <w:r>
              <w:t>Opći prihodi i primici (1)</w:t>
            </w:r>
          </w:p>
        </w:tc>
        <w:tc>
          <w:tcPr>
            <w:tcW w:w="1979" w:type="dxa"/>
          </w:tcPr>
          <w:p w14:paraId="6AE9395C" w14:textId="4F264813" w:rsidR="009B3621" w:rsidRDefault="009B3621" w:rsidP="00077F08">
            <w:pPr>
              <w:jc w:val="right"/>
            </w:pPr>
            <w:r>
              <w:t>-206.464,40</w:t>
            </w:r>
          </w:p>
        </w:tc>
      </w:tr>
      <w:tr w:rsidR="009B3621" w14:paraId="3BC6F196" w14:textId="77777777" w:rsidTr="00077F08">
        <w:tc>
          <w:tcPr>
            <w:tcW w:w="7083" w:type="dxa"/>
          </w:tcPr>
          <w:p w14:paraId="6DD545D2" w14:textId="77777777" w:rsidR="009B3621" w:rsidRDefault="009B3621" w:rsidP="00077F08">
            <w:pPr>
              <w:jc w:val="both"/>
            </w:pPr>
            <w:r>
              <w:t>Kapitalne pomoći (52)</w:t>
            </w:r>
          </w:p>
        </w:tc>
        <w:tc>
          <w:tcPr>
            <w:tcW w:w="1979" w:type="dxa"/>
          </w:tcPr>
          <w:p w14:paraId="29E470C5" w14:textId="421FCFAA" w:rsidR="009B3621" w:rsidRDefault="009B3621" w:rsidP="00077F08">
            <w:pPr>
              <w:jc w:val="right"/>
            </w:pPr>
            <w:r>
              <w:t>-2.643.278,82</w:t>
            </w:r>
          </w:p>
        </w:tc>
      </w:tr>
      <w:tr w:rsidR="009B3621" w14:paraId="772D17ED" w14:textId="77777777" w:rsidTr="00077F08">
        <w:tc>
          <w:tcPr>
            <w:tcW w:w="7083" w:type="dxa"/>
          </w:tcPr>
          <w:p w14:paraId="5A2ECDEC" w14:textId="77777777" w:rsidR="009B3621" w:rsidRDefault="009B3621" w:rsidP="00077F08">
            <w:pPr>
              <w:jc w:val="both"/>
            </w:pPr>
            <w:r>
              <w:t>Pomoći iz fondova EU (54)</w:t>
            </w:r>
          </w:p>
        </w:tc>
        <w:tc>
          <w:tcPr>
            <w:tcW w:w="1979" w:type="dxa"/>
          </w:tcPr>
          <w:p w14:paraId="509ECD0C" w14:textId="5FF3F2AE" w:rsidR="009B3621" w:rsidRDefault="009B3621" w:rsidP="00077F08">
            <w:pPr>
              <w:jc w:val="right"/>
            </w:pPr>
            <w:r>
              <w:t>-706.414,18</w:t>
            </w:r>
          </w:p>
        </w:tc>
      </w:tr>
      <w:tr w:rsidR="009B3621" w14:paraId="45902BCC" w14:textId="77777777" w:rsidTr="00077F08">
        <w:tc>
          <w:tcPr>
            <w:tcW w:w="7083" w:type="dxa"/>
          </w:tcPr>
          <w:p w14:paraId="17FBE5BF" w14:textId="77777777" w:rsidR="009B3621" w:rsidRDefault="009B3621" w:rsidP="00077F08">
            <w:pPr>
              <w:jc w:val="both"/>
            </w:pPr>
            <w:r>
              <w:t>Prihodi od prodaje neproizvedene dugotrajne imovine (71)</w:t>
            </w:r>
          </w:p>
        </w:tc>
        <w:tc>
          <w:tcPr>
            <w:tcW w:w="1979" w:type="dxa"/>
          </w:tcPr>
          <w:p w14:paraId="35A99399" w14:textId="0CC88AA8" w:rsidR="009B3621" w:rsidRDefault="009B3621" w:rsidP="00077F08">
            <w:pPr>
              <w:jc w:val="right"/>
            </w:pPr>
            <w:r>
              <w:t>29.397,22</w:t>
            </w:r>
          </w:p>
        </w:tc>
      </w:tr>
    </w:tbl>
    <w:p w14:paraId="4907869A" w14:textId="77777777" w:rsidR="009B3621" w:rsidRDefault="009B3621" w:rsidP="001D6174">
      <w:pPr>
        <w:jc w:val="both"/>
      </w:pPr>
    </w:p>
    <w:p w14:paraId="66EF80F9" w14:textId="0D33D0D0" w:rsidR="009B3621" w:rsidRDefault="009B3621" w:rsidP="009B3621">
      <w:pPr>
        <w:jc w:val="center"/>
      </w:pPr>
      <w:r>
        <w:t>Članak 3.</w:t>
      </w:r>
    </w:p>
    <w:p w14:paraId="4DF0B329" w14:textId="77777777" w:rsidR="001227F7" w:rsidRDefault="001227F7" w:rsidP="00FB38B7">
      <w:pPr>
        <w:ind w:firstLine="708"/>
        <w:jc w:val="both"/>
      </w:pPr>
      <w:r>
        <w:t>Tijekom 2025. godine izvršit će se preraspodjela rezultata na način kako je to dozvoljeno važećim proračunskim propisima. Tako se ostvarenim viškom prihoda poslovanja prebija dio manjka prihoda od nefinancijske imovine. Nakon izvršene preraspodjele konačna struktura proračunskog manjka prikazuje se u tablici koja  slijedi</w:t>
      </w:r>
    </w:p>
    <w:tbl>
      <w:tblPr>
        <w:tblStyle w:val="Reetkatablice"/>
        <w:tblW w:w="0" w:type="auto"/>
        <w:tblLook w:val="04A0" w:firstRow="1" w:lastRow="0" w:firstColumn="1" w:lastColumn="0" w:noHBand="0" w:noVBand="1"/>
      </w:tblPr>
      <w:tblGrid>
        <w:gridCol w:w="1696"/>
        <w:gridCol w:w="5387"/>
        <w:gridCol w:w="1979"/>
      </w:tblGrid>
      <w:tr w:rsidR="001227F7" w:rsidRPr="001D6174" w14:paraId="6A10D269" w14:textId="77777777" w:rsidTr="00077F08">
        <w:tc>
          <w:tcPr>
            <w:tcW w:w="1696" w:type="dxa"/>
          </w:tcPr>
          <w:p w14:paraId="7D3E9427" w14:textId="77777777" w:rsidR="001227F7" w:rsidRPr="001D6174" w:rsidRDefault="001227F7" w:rsidP="00077F08">
            <w:pPr>
              <w:jc w:val="both"/>
              <w:rPr>
                <w:b/>
                <w:bCs/>
              </w:rPr>
            </w:pPr>
            <w:r w:rsidRPr="001D6174">
              <w:rPr>
                <w:b/>
                <w:bCs/>
              </w:rPr>
              <w:t>Broj računa</w:t>
            </w:r>
          </w:p>
        </w:tc>
        <w:tc>
          <w:tcPr>
            <w:tcW w:w="5387" w:type="dxa"/>
          </w:tcPr>
          <w:p w14:paraId="64C6958D" w14:textId="77777777" w:rsidR="001227F7" w:rsidRPr="001D6174" w:rsidRDefault="001227F7" w:rsidP="00077F08">
            <w:pPr>
              <w:jc w:val="center"/>
              <w:rPr>
                <w:b/>
                <w:bCs/>
              </w:rPr>
            </w:pPr>
            <w:r w:rsidRPr="001D6174">
              <w:rPr>
                <w:b/>
                <w:bCs/>
              </w:rPr>
              <w:t>Naziv računa</w:t>
            </w:r>
          </w:p>
        </w:tc>
        <w:tc>
          <w:tcPr>
            <w:tcW w:w="1979" w:type="dxa"/>
          </w:tcPr>
          <w:p w14:paraId="316425F4" w14:textId="77777777" w:rsidR="001227F7" w:rsidRPr="001D6174" w:rsidRDefault="001227F7" w:rsidP="00077F08">
            <w:pPr>
              <w:jc w:val="right"/>
              <w:rPr>
                <w:b/>
                <w:bCs/>
              </w:rPr>
            </w:pPr>
            <w:r w:rsidRPr="001D6174">
              <w:rPr>
                <w:b/>
                <w:bCs/>
              </w:rPr>
              <w:t>Iznos €</w:t>
            </w:r>
          </w:p>
        </w:tc>
      </w:tr>
      <w:tr w:rsidR="001227F7" w14:paraId="13402F78" w14:textId="77777777" w:rsidTr="00077F08">
        <w:tc>
          <w:tcPr>
            <w:tcW w:w="1696" w:type="dxa"/>
          </w:tcPr>
          <w:p w14:paraId="2264FF02" w14:textId="77777777" w:rsidR="001227F7" w:rsidRDefault="001227F7" w:rsidP="00077F08">
            <w:pPr>
              <w:jc w:val="both"/>
            </w:pPr>
            <w:r>
              <w:t>92211</w:t>
            </w:r>
          </w:p>
        </w:tc>
        <w:tc>
          <w:tcPr>
            <w:tcW w:w="5387" w:type="dxa"/>
          </w:tcPr>
          <w:p w14:paraId="1797A2AE" w14:textId="77777777" w:rsidR="001227F7" w:rsidRDefault="001227F7" w:rsidP="00077F08">
            <w:pPr>
              <w:jc w:val="both"/>
            </w:pPr>
            <w:r>
              <w:t>Višak prihoda poslovanja</w:t>
            </w:r>
          </w:p>
        </w:tc>
        <w:tc>
          <w:tcPr>
            <w:tcW w:w="1979" w:type="dxa"/>
          </w:tcPr>
          <w:p w14:paraId="2F48B478" w14:textId="25282282" w:rsidR="001227F7" w:rsidRDefault="001227F7" w:rsidP="00077F08">
            <w:pPr>
              <w:jc w:val="right"/>
            </w:pPr>
            <w:r>
              <w:t>0,00</w:t>
            </w:r>
          </w:p>
        </w:tc>
      </w:tr>
      <w:tr w:rsidR="001227F7" w14:paraId="0AAEF73F" w14:textId="77777777" w:rsidTr="00077F08">
        <w:tc>
          <w:tcPr>
            <w:tcW w:w="1696" w:type="dxa"/>
          </w:tcPr>
          <w:p w14:paraId="2069DA33" w14:textId="77777777" w:rsidR="001227F7" w:rsidRDefault="001227F7" w:rsidP="00077F08">
            <w:pPr>
              <w:jc w:val="both"/>
            </w:pPr>
            <w:r>
              <w:t>92222</w:t>
            </w:r>
          </w:p>
        </w:tc>
        <w:tc>
          <w:tcPr>
            <w:tcW w:w="5387" w:type="dxa"/>
          </w:tcPr>
          <w:p w14:paraId="17E49492" w14:textId="77777777" w:rsidR="001227F7" w:rsidRDefault="001227F7" w:rsidP="00077F08">
            <w:pPr>
              <w:jc w:val="both"/>
            </w:pPr>
            <w:r>
              <w:t>Manjak prihoda od nefinancijske imovine</w:t>
            </w:r>
          </w:p>
        </w:tc>
        <w:tc>
          <w:tcPr>
            <w:tcW w:w="1979" w:type="dxa"/>
          </w:tcPr>
          <w:p w14:paraId="372467CD" w14:textId="7484B84F" w:rsidR="001227F7" w:rsidRDefault="00FB38B7" w:rsidP="00077F08">
            <w:pPr>
              <w:jc w:val="right"/>
            </w:pPr>
            <w:r>
              <w:t>-</w:t>
            </w:r>
            <w:r w:rsidR="00B21485">
              <w:t>114.788,74</w:t>
            </w:r>
          </w:p>
        </w:tc>
      </w:tr>
      <w:tr w:rsidR="001227F7" w14:paraId="7A38281E" w14:textId="77777777" w:rsidTr="00077F08">
        <w:tc>
          <w:tcPr>
            <w:tcW w:w="1696" w:type="dxa"/>
          </w:tcPr>
          <w:p w14:paraId="754FE235" w14:textId="77777777" w:rsidR="001227F7" w:rsidRDefault="001227F7" w:rsidP="00077F08">
            <w:pPr>
              <w:jc w:val="both"/>
            </w:pPr>
          </w:p>
        </w:tc>
        <w:tc>
          <w:tcPr>
            <w:tcW w:w="5387" w:type="dxa"/>
          </w:tcPr>
          <w:p w14:paraId="14A5FF8C" w14:textId="77777777" w:rsidR="001227F7" w:rsidRDefault="001227F7" w:rsidP="00077F08">
            <w:pPr>
              <w:jc w:val="both"/>
            </w:pPr>
            <w:r>
              <w:t>UKUPAN REZULTAT (manjak)</w:t>
            </w:r>
          </w:p>
        </w:tc>
        <w:tc>
          <w:tcPr>
            <w:tcW w:w="1979" w:type="dxa"/>
          </w:tcPr>
          <w:p w14:paraId="3F494DBD" w14:textId="05F00FB7" w:rsidR="001227F7" w:rsidRDefault="001227F7" w:rsidP="00077F08">
            <w:pPr>
              <w:jc w:val="right"/>
            </w:pPr>
            <w:r>
              <w:t>-114.</w:t>
            </w:r>
            <w:r w:rsidR="00B21485">
              <w:t>788,74</w:t>
            </w:r>
          </w:p>
        </w:tc>
      </w:tr>
    </w:tbl>
    <w:p w14:paraId="37B1431D" w14:textId="77777777" w:rsidR="004821D4" w:rsidRDefault="004821D4" w:rsidP="000A2C1B">
      <w:pPr>
        <w:jc w:val="both"/>
      </w:pPr>
    </w:p>
    <w:p w14:paraId="562C1347" w14:textId="6C23E266" w:rsidR="000A2C1B" w:rsidRDefault="000A2C1B" w:rsidP="000A2C1B">
      <w:pPr>
        <w:jc w:val="both"/>
      </w:pPr>
      <w:r>
        <w:t xml:space="preserve">3.1. Višak prihoda poslovanja u iznosu od 3.411.964,60 EUR koristit će se za pokriće dio manjka prihoda od nefinancijske imovine u iznosu od 3.411.964,60 EUR. </w:t>
      </w:r>
    </w:p>
    <w:p w14:paraId="38AFAEE6" w14:textId="3745A6A9" w:rsidR="001227F7" w:rsidRDefault="000A2C1B" w:rsidP="001D6174">
      <w:pPr>
        <w:jc w:val="both"/>
      </w:pPr>
      <w:r>
        <w:t>3.2. Višak primitaka od financijske u iznosu od 6,84 EURA imovine koristit će se za pokriće  dio manjka prihoda od nefinancijske imovine u iznosu od  6,84 EUR.</w:t>
      </w:r>
    </w:p>
    <w:p w14:paraId="79B435C7" w14:textId="7506E77F" w:rsidR="00FB38B7" w:rsidRDefault="00FB38B7" w:rsidP="00FB38B7">
      <w:pPr>
        <w:ind w:firstLine="708"/>
        <w:jc w:val="both"/>
      </w:pPr>
      <w:r>
        <w:t>Proračunski manjak Općine Sikirevci za 2024. godinu uključit će se u II. Izmjene i dopune proračuna Općine Sikirevci za 2025. godinu, kojima će se planirati i njegovo pokriće U svrhu uravnoteženja proračuna, nakon uključivanja proračunskog manjka, te zbog potrebe ravnomjernog zadovoljavanja svih zakonom propisanih javnih potreba planiranih kroz rashode i izdatke tekuće proračunske godine, tijekom 2025. godine nastavit će se s poduzimanjem svih mjera za pravodobno prikupljanje i ostvarenje proračunskih prihoda, uz maksimalno poštivanje načela ekonomičnosti i učinkovitosti prilikom trošenja proračunskih sredstava, kako bi ostvareni prihodi u 2025. godini bili dostatni za pokriće prenesenog proračunskog manjka u iznosu od 114.</w:t>
      </w:r>
      <w:r w:rsidR="00B21485">
        <w:t>788,74</w:t>
      </w:r>
      <w:r>
        <w:t xml:space="preserve"> eura i rashoda i izdataka tekuće proračunske godine.</w:t>
      </w:r>
    </w:p>
    <w:p w14:paraId="2C497A1D" w14:textId="4228315A" w:rsidR="006B1B01" w:rsidRDefault="006B1B01" w:rsidP="006B1B01">
      <w:pPr>
        <w:jc w:val="center"/>
      </w:pPr>
      <w:r>
        <w:t>Članak 4.</w:t>
      </w:r>
    </w:p>
    <w:p w14:paraId="0392A1B6" w14:textId="30A09B38" w:rsidR="006B1B01" w:rsidRDefault="006B1B01" w:rsidP="006B1B01">
      <w:pPr>
        <w:jc w:val="both"/>
      </w:pPr>
      <w:r>
        <w:t>Ova odluka stupa na snagu osmog dana od dana objave u Službenom glasilu Općine Sikirevci.</w:t>
      </w:r>
    </w:p>
    <w:p w14:paraId="7CF2C7FA" w14:textId="77777777" w:rsidR="006B1B01" w:rsidRDefault="006B1B01" w:rsidP="006B1B01">
      <w:pPr>
        <w:jc w:val="both"/>
      </w:pPr>
    </w:p>
    <w:p w14:paraId="4B5C88ED" w14:textId="362B3468" w:rsidR="006B1B01" w:rsidRPr="00D87C64" w:rsidRDefault="006B1B01" w:rsidP="006B1B01">
      <w:pPr>
        <w:jc w:val="center"/>
        <w:rPr>
          <w:b/>
          <w:bCs/>
        </w:rPr>
      </w:pPr>
      <w:r w:rsidRPr="00D87C64">
        <w:rPr>
          <w:b/>
          <w:bCs/>
        </w:rPr>
        <w:t>OPĆINSKO VIJEĆE OPĆINE SIKIREVCI</w:t>
      </w:r>
    </w:p>
    <w:p w14:paraId="632F2FDE" w14:textId="77777777" w:rsidR="006B1B01" w:rsidRDefault="006B1B01" w:rsidP="006B1B01">
      <w:pPr>
        <w:jc w:val="center"/>
      </w:pPr>
    </w:p>
    <w:p w14:paraId="1C803E26" w14:textId="1B6DFE1E" w:rsidR="006B1B01" w:rsidRDefault="006B1B01" w:rsidP="006B1B01">
      <w:r>
        <w:t>KLASA:</w:t>
      </w:r>
      <w:r w:rsidR="00DC5786">
        <w:t xml:space="preserve"> </w:t>
      </w:r>
      <w:r w:rsidR="004821D4">
        <w:t>400-02/25-01/2</w:t>
      </w:r>
    </w:p>
    <w:p w14:paraId="6AAD898B" w14:textId="65BA75D3" w:rsidR="006B1B01" w:rsidRDefault="006B1B01" w:rsidP="006B1B01">
      <w:r>
        <w:t>URBROJ:</w:t>
      </w:r>
      <w:r w:rsidR="00DC5786">
        <w:t xml:space="preserve"> </w:t>
      </w:r>
      <w:r>
        <w:t>2178-26-02-25-01</w:t>
      </w:r>
    </w:p>
    <w:p w14:paraId="53032A58" w14:textId="4E4810C6" w:rsidR="006B1B01" w:rsidRDefault="006B1B01" w:rsidP="006B1B01">
      <w:r>
        <w:t>S</w:t>
      </w:r>
      <w:r w:rsidR="00D87C64">
        <w:t xml:space="preserve">ikirevci, 13. kolovoza </w:t>
      </w:r>
      <w:r>
        <w:t>2025.</w:t>
      </w:r>
      <w:r w:rsidR="00D87C64">
        <w:t xml:space="preserve"> godine</w:t>
      </w:r>
    </w:p>
    <w:p w14:paraId="4990EA7D" w14:textId="77777777" w:rsidR="00D87C64" w:rsidRDefault="00D87C64" w:rsidP="006B1B01">
      <w:pPr>
        <w:jc w:val="right"/>
        <w:rPr>
          <w:b/>
          <w:bCs/>
        </w:rPr>
      </w:pPr>
    </w:p>
    <w:p w14:paraId="0ADA81C3" w14:textId="640FB49E" w:rsidR="006B1B01" w:rsidRPr="00D87C64" w:rsidRDefault="006B1B01" w:rsidP="006B1B01">
      <w:pPr>
        <w:jc w:val="right"/>
        <w:rPr>
          <w:b/>
          <w:bCs/>
        </w:rPr>
      </w:pPr>
      <w:r w:rsidRPr="00D87C64">
        <w:rPr>
          <w:b/>
          <w:bCs/>
        </w:rPr>
        <w:t>PREDSJEDNICA OPĆINSKOG VIJEĆA</w:t>
      </w:r>
    </w:p>
    <w:p w14:paraId="747C499B" w14:textId="3C73D1FB" w:rsidR="006B1B01" w:rsidRPr="00D87C64" w:rsidRDefault="006B1B01" w:rsidP="006B1B01">
      <w:pPr>
        <w:jc w:val="right"/>
        <w:rPr>
          <w:b/>
          <w:bCs/>
        </w:rPr>
      </w:pPr>
      <w:r w:rsidRPr="00D87C64">
        <w:rPr>
          <w:b/>
          <w:bCs/>
        </w:rPr>
        <w:t>M</w:t>
      </w:r>
      <w:r w:rsidR="00544A3A">
        <w:rPr>
          <w:b/>
          <w:bCs/>
        </w:rPr>
        <w:t>arijana Živić, v.r.</w:t>
      </w:r>
    </w:p>
    <w:bookmarkEnd w:id="0"/>
    <w:p w14:paraId="2B528894" w14:textId="77777777" w:rsidR="006B1B01" w:rsidRDefault="006B1B01" w:rsidP="006B1B01"/>
    <w:p w14:paraId="3D6124EF" w14:textId="4E9B4F7F" w:rsidR="00365954" w:rsidRDefault="00365954" w:rsidP="001D6174">
      <w:pPr>
        <w:jc w:val="both"/>
      </w:pPr>
    </w:p>
    <w:sectPr w:rsidR="00365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74"/>
    <w:rsid w:val="00002CD1"/>
    <w:rsid w:val="000A2C1B"/>
    <w:rsid w:val="001227F7"/>
    <w:rsid w:val="001D6174"/>
    <w:rsid w:val="00365954"/>
    <w:rsid w:val="00432D7E"/>
    <w:rsid w:val="004821D4"/>
    <w:rsid w:val="004C7AE9"/>
    <w:rsid w:val="0052680E"/>
    <w:rsid w:val="005373F7"/>
    <w:rsid w:val="00544A3A"/>
    <w:rsid w:val="00594F14"/>
    <w:rsid w:val="00682705"/>
    <w:rsid w:val="006B1B01"/>
    <w:rsid w:val="007E3968"/>
    <w:rsid w:val="00932AE4"/>
    <w:rsid w:val="009B3621"/>
    <w:rsid w:val="00A10075"/>
    <w:rsid w:val="00AD4141"/>
    <w:rsid w:val="00B21485"/>
    <w:rsid w:val="00D514F7"/>
    <w:rsid w:val="00D87C64"/>
    <w:rsid w:val="00DC5786"/>
    <w:rsid w:val="00DF4807"/>
    <w:rsid w:val="00EB15CC"/>
    <w:rsid w:val="00EC5E11"/>
    <w:rsid w:val="00FB38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AAC2"/>
  <w15:chartTrackingRefBased/>
  <w15:docId w15:val="{729D5B7E-D407-400A-A294-726696C1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D61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1D61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1D6174"/>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1D6174"/>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1D6174"/>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1D617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D617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D617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D617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D6174"/>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1D6174"/>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1D6174"/>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1D6174"/>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1D6174"/>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1D617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D617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D617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D6174"/>
    <w:rPr>
      <w:rFonts w:eastAsiaTheme="majorEastAsia" w:cstheme="majorBidi"/>
      <w:color w:val="272727" w:themeColor="text1" w:themeTint="D8"/>
    </w:rPr>
  </w:style>
  <w:style w:type="paragraph" w:styleId="Naslov">
    <w:name w:val="Title"/>
    <w:basedOn w:val="Normal"/>
    <w:next w:val="Normal"/>
    <w:link w:val="NaslovChar"/>
    <w:uiPriority w:val="10"/>
    <w:qFormat/>
    <w:rsid w:val="001D6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D617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D617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D617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D6174"/>
    <w:pPr>
      <w:spacing w:before="160"/>
      <w:jc w:val="center"/>
    </w:pPr>
    <w:rPr>
      <w:i/>
      <w:iCs/>
      <w:color w:val="404040" w:themeColor="text1" w:themeTint="BF"/>
    </w:rPr>
  </w:style>
  <w:style w:type="character" w:customStyle="1" w:styleId="CitatChar">
    <w:name w:val="Citat Char"/>
    <w:basedOn w:val="Zadanifontodlomka"/>
    <w:link w:val="Citat"/>
    <w:uiPriority w:val="29"/>
    <w:rsid w:val="001D6174"/>
    <w:rPr>
      <w:i/>
      <w:iCs/>
      <w:color w:val="404040" w:themeColor="text1" w:themeTint="BF"/>
    </w:rPr>
  </w:style>
  <w:style w:type="paragraph" w:styleId="Odlomakpopisa">
    <w:name w:val="List Paragraph"/>
    <w:basedOn w:val="Normal"/>
    <w:uiPriority w:val="34"/>
    <w:qFormat/>
    <w:rsid w:val="001D6174"/>
    <w:pPr>
      <w:ind w:left="720"/>
      <w:contextualSpacing/>
    </w:pPr>
  </w:style>
  <w:style w:type="character" w:styleId="Jakoisticanje">
    <w:name w:val="Intense Emphasis"/>
    <w:basedOn w:val="Zadanifontodlomka"/>
    <w:uiPriority w:val="21"/>
    <w:qFormat/>
    <w:rsid w:val="001D6174"/>
    <w:rPr>
      <w:i/>
      <w:iCs/>
      <w:color w:val="2F5496" w:themeColor="accent1" w:themeShade="BF"/>
    </w:rPr>
  </w:style>
  <w:style w:type="paragraph" w:styleId="Naglaencitat">
    <w:name w:val="Intense Quote"/>
    <w:basedOn w:val="Normal"/>
    <w:next w:val="Normal"/>
    <w:link w:val="NaglaencitatChar"/>
    <w:uiPriority w:val="30"/>
    <w:qFormat/>
    <w:rsid w:val="001D6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1D6174"/>
    <w:rPr>
      <w:i/>
      <w:iCs/>
      <w:color w:val="2F5496" w:themeColor="accent1" w:themeShade="BF"/>
    </w:rPr>
  </w:style>
  <w:style w:type="character" w:styleId="Istaknutareferenca">
    <w:name w:val="Intense Reference"/>
    <w:basedOn w:val="Zadanifontodlomka"/>
    <w:uiPriority w:val="32"/>
    <w:qFormat/>
    <w:rsid w:val="001D6174"/>
    <w:rPr>
      <w:b/>
      <w:bCs/>
      <w:smallCaps/>
      <w:color w:val="2F5496" w:themeColor="accent1" w:themeShade="BF"/>
      <w:spacing w:val="5"/>
    </w:rPr>
  </w:style>
  <w:style w:type="table" w:styleId="Reetkatablice">
    <w:name w:val="Table Grid"/>
    <w:basedOn w:val="Obinatablica"/>
    <w:uiPriority w:val="39"/>
    <w:rsid w:val="001D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602</Words>
  <Characters>3436</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cp:revision>
  <cp:lastPrinted>2025-07-31T11:36:00Z</cp:lastPrinted>
  <dcterms:created xsi:type="dcterms:W3CDTF">2025-07-31T09:25:00Z</dcterms:created>
  <dcterms:modified xsi:type="dcterms:W3CDTF">2025-08-21T07:19:00Z</dcterms:modified>
</cp:coreProperties>
</file>