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45" w:rsidRPr="00346187" w:rsidRDefault="00114EDD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>Na temelju čl. 48 Zakona o lokalnoj i područnoj (regionalnoj) samoupravi (Narodne novine, br. 33/01, 60/01, 129/05, 109/07, 125/08, 36/09, 150/11, 144</w:t>
      </w:r>
      <w:r w:rsidR="00346187" w:rsidRPr="00346187">
        <w:rPr>
          <w:rFonts w:ascii="Times New Roman" w:eastAsia="Calibri Light" w:hAnsi="Times New Roman" w:cs="Times New Roman"/>
          <w:sz w:val="24"/>
          <w:szCs w:val="24"/>
        </w:rPr>
        <w:t>/12 , 19/13 i 123/17), te čl. 46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. Statuta Općine Sikirevci  (Službeni vjesnik Brodsko-posavske županije </w:t>
      </w:r>
      <w:r w:rsidR="00346187" w:rsidRPr="00346187">
        <w:rPr>
          <w:rFonts w:ascii="Times New Roman" w:eastAsia="Calibri Light" w:hAnsi="Times New Roman" w:cs="Times New Roman"/>
          <w:sz w:val="24"/>
          <w:szCs w:val="24"/>
        </w:rPr>
        <w:t>01/18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>), Zakona o udrugama (Narodne novine, broj: 74/14), te sukladno odredbama Uredbe o kriterijima, mjerilima i postupcima financiranja i ugovaranja programa i projekata od interesa za opće dobro koje provode udruge (Narodne novine, broj: 26/15), općinski načelnik Općine Sikirevci donosi</w:t>
      </w:r>
    </w:p>
    <w:p w:rsidR="00374F45" w:rsidRPr="00346187" w:rsidRDefault="00374F45">
      <w:pPr>
        <w:spacing w:after="0" w:line="240" w:lineRule="auto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</w:p>
    <w:p w:rsidR="00374F45" w:rsidRPr="00346187" w:rsidRDefault="00114EDD">
      <w:pPr>
        <w:spacing w:after="0" w:line="240" w:lineRule="auto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b/>
          <w:sz w:val="24"/>
          <w:szCs w:val="24"/>
        </w:rPr>
        <w:t>ODLUKU</w:t>
      </w:r>
    </w:p>
    <w:p w:rsidR="00374F45" w:rsidRPr="00346187" w:rsidRDefault="00114EDD">
      <w:pPr>
        <w:spacing w:after="0" w:line="240" w:lineRule="auto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b/>
          <w:sz w:val="24"/>
          <w:szCs w:val="24"/>
        </w:rPr>
        <w:t>o raspisivanju javnog natječaja</w:t>
      </w:r>
    </w:p>
    <w:p w:rsidR="00374F45" w:rsidRPr="00346187" w:rsidRDefault="00114EDD">
      <w:pPr>
        <w:spacing w:after="0" w:line="240" w:lineRule="auto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b/>
          <w:sz w:val="24"/>
          <w:szCs w:val="24"/>
        </w:rPr>
        <w:t xml:space="preserve">za </w:t>
      </w:r>
      <w:r w:rsidR="00346187" w:rsidRPr="00346187">
        <w:rPr>
          <w:rFonts w:ascii="Times New Roman" w:eastAsia="Calibri Light" w:hAnsi="Times New Roman" w:cs="Times New Roman"/>
          <w:b/>
          <w:sz w:val="24"/>
          <w:szCs w:val="24"/>
        </w:rPr>
        <w:t>su</w:t>
      </w:r>
      <w:r w:rsidRPr="00346187">
        <w:rPr>
          <w:rFonts w:ascii="Times New Roman" w:eastAsia="Calibri Light" w:hAnsi="Times New Roman" w:cs="Times New Roman"/>
          <w:b/>
          <w:sz w:val="24"/>
          <w:szCs w:val="24"/>
        </w:rPr>
        <w:t>financiranje programa i projekata od interesa za opće dobro</w:t>
      </w:r>
    </w:p>
    <w:p w:rsidR="00374F45" w:rsidRPr="002D0FC3" w:rsidRDefault="00114EDD" w:rsidP="002D0FC3">
      <w:pPr>
        <w:spacing w:after="0" w:line="240" w:lineRule="auto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b/>
          <w:sz w:val="24"/>
          <w:szCs w:val="24"/>
        </w:rPr>
        <w:t>koje provode udruge na p</w:t>
      </w:r>
      <w:r w:rsidR="002D0FC3">
        <w:rPr>
          <w:rFonts w:ascii="Times New Roman" w:eastAsia="Calibri Light" w:hAnsi="Times New Roman" w:cs="Times New Roman"/>
          <w:b/>
          <w:sz w:val="24"/>
          <w:szCs w:val="24"/>
        </w:rPr>
        <w:t>odručju Općine Sikirevci za 2020</w:t>
      </w:r>
      <w:r w:rsidRPr="00346187">
        <w:rPr>
          <w:rFonts w:ascii="Times New Roman" w:eastAsia="Calibri Light" w:hAnsi="Times New Roman" w:cs="Times New Roman"/>
          <w:b/>
          <w:sz w:val="24"/>
          <w:szCs w:val="24"/>
        </w:rPr>
        <w:t>. godinu</w:t>
      </w:r>
    </w:p>
    <w:p w:rsidR="00374F45" w:rsidRPr="00346187" w:rsidRDefault="00374F45">
      <w:pPr>
        <w:spacing w:after="0" w:line="240" w:lineRule="auto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</w:p>
    <w:p w:rsidR="00374F45" w:rsidRPr="00346187" w:rsidRDefault="00114EDD">
      <w:pPr>
        <w:spacing w:after="0" w:line="240" w:lineRule="auto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b/>
          <w:sz w:val="24"/>
          <w:szCs w:val="24"/>
        </w:rPr>
        <w:t>I.</w:t>
      </w:r>
    </w:p>
    <w:p w:rsidR="00374F45" w:rsidRPr="00346187" w:rsidRDefault="00114EDD" w:rsidP="003C7F21">
      <w:pPr>
        <w:spacing w:after="240" w:line="240" w:lineRule="auto"/>
        <w:jc w:val="both"/>
        <w:rPr>
          <w:rFonts w:ascii="Times New Roman" w:eastAsia="Calibri Light" w:hAnsi="Times New Roman" w:cs="Times New Roman"/>
          <w:sz w:val="24"/>
          <w:szCs w:val="24"/>
          <w:shd w:val="clear" w:color="auto" w:fill="FFFF00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Općinski načelnik Općine Sikirevci raspisuje javni natječaj za </w:t>
      </w:r>
      <w:r w:rsidR="00346187">
        <w:rPr>
          <w:rFonts w:ascii="Times New Roman" w:eastAsia="Calibri Light" w:hAnsi="Times New Roman" w:cs="Times New Roman"/>
          <w:sz w:val="24"/>
          <w:szCs w:val="24"/>
        </w:rPr>
        <w:t>su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>financiranje programa i projekata od interesa za opće dobro koje provode udruge  na p</w:t>
      </w:r>
      <w:r w:rsidR="00346187">
        <w:rPr>
          <w:rFonts w:ascii="Times New Roman" w:eastAsia="Calibri Light" w:hAnsi="Times New Roman" w:cs="Times New Roman"/>
          <w:sz w:val="24"/>
          <w:szCs w:val="24"/>
        </w:rPr>
        <w:t>odručju Općine Sikirevci</w:t>
      </w:r>
      <w:r w:rsidR="002D0FC3">
        <w:rPr>
          <w:rFonts w:ascii="Times New Roman" w:eastAsia="Calibri Light" w:hAnsi="Times New Roman" w:cs="Times New Roman"/>
          <w:sz w:val="24"/>
          <w:szCs w:val="24"/>
        </w:rPr>
        <w:t xml:space="preserve"> za 2020</w:t>
      </w:r>
      <w:r w:rsidR="0070051F">
        <w:rPr>
          <w:rFonts w:ascii="Times New Roman" w:eastAsia="Calibri Light" w:hAnsi="Times New Roman" w:cs="Times New Roman"/>
          <w:sz w:val="24"/>
          <w:szCs w:val="24"/>
        </w:rPr>
        <w:t xml:space="preserve">. godinu u vremenu od  </w:t>
      </w:r>
      <w:r w:rsidR="003116A6" w:rsidRPr="003116A6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15</w:t>
      </w:r>
      <w:r w:rsidR="0070051F" w:rsidRPr="003116A6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 xml:space="preserve">. siječnja </w:t>
      </w:r>
      <w:r w:rsidR="003116A6" w:rsidRPr="003116A6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2020</w:t>
      </w:r>
      <w:r w:rsidR="00ED4CBD" w:rsidRPr="003116A6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.</w:t>
      </w:r>
      <w:r w:rsidR="00E7323B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 xml:space="preserve"> do 14</w:t>
      </w:r>
      <w:r w:rsidRPr="003116A6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.</w:t>
      </w:r>
      <w:r w:rsidR="00E7323B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 xml:space="preserve"> veljače </w:t>
      </w:r>
      <w:r w:rsidR="003116A6" w:rsidRPr="003116A6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2020</w:t>
      </w:r>
      <w:r w:rsidRPr="003116A6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 xml:space="preserve">.g. </w:t>
      </w:r>
    </w:p>
    <w:p w:rsidR="00374F45" w:rsidRPr="00346187" w:rsidRDefault="00114EDD">
      <w:pPr>
        <w:spacing w:after="0" w:line="240" w:lineRule="auto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b/>
          <w:sz w:val="24"/>
          <w:szCs w:val="24"/>
        </w:rPr>
        <w:t>II.</w:t>
      </w:r>
    </w:p>
    <w:p w:rsidR="00374F45" w:rsidRPr="00346187" w:rsidRDefault="00114EDD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>Iznos ukupnih sredstava koji će biti na raspolaganju za sufinanciranje programa, odnosno iznos koji će se temeljem ovoga natječaja moći dodijeliti udrugama za provedbu programa biti će određen Pro</w:t>
      </w:r>
      <w:r w:rsidR="002D0FC3">
        <w:rPr>
          <w:rFonts w:ascii="Times New Roman" w:eastAsia="Calibri Light" w:hAnsi="Times New Roman" w:cs="Times New Roman"/>
          <w:sz w:val="24"/>
          <w:szCs w:val="24"/>
        </w:rPr>
        <w:t>računom općine Sikirevci za 2020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>.</w:t>
      </w:r>
      <w:r w:rsidR="002D0FC3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g., a raspodijelit će se na temelju javnog natječaja za financiranje projekata udruga u </w:t>
      </w:r>
      <w:r w:rsidR="002D0FC3">
        <w:rPr>
          <w:rFonts w:ascii="Times New Roman" w:eastAsia="Calibri Light" w:hAnsi="Times New Roman" w:cs="Times New Roman"/>
          <w:sz w:val="24"/>
          <w:szCs w:val="24"/>
        </w:rPr>
        <w:t>području za 2020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>. godinu (u daljnjem tekstu: Natječaj) čiji je nositelj Općina Sikirevci i u skladu s dokumentacijom za provedbu Natječaja koja je sastavni dio ove Odluke.</w:t>
      </w:r>
    </w:p>
    <w:p w:rsidR="00374F45" w:rsidRPr="00346187" w:rsidRDefault="00374F45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:rsidR="00374F45" w:rsidRPr="00346187" w:rsidRDefault="00114EDD">
      <w:pPr>
        <w:spacing w:after="0" w:line="240" w:lineRule="auto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b/>
          <w:sz w:val="24"/>
          <w:szCs w:val="24"/>
        </w:rPr>
        <w:t>III.</w:t>
      </w:r>
    </w:p>
    <w:p w:rsidR="00374F45" w:rsidRPr="00346187" w:rsidRDefault="00114EDD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Dokumentacija za provedbu Natječaja iz točke II. ove Odluke obuhvaća: </w:t>
      </w:r>
    </w:p>
    <w:p w:rsidR="00374F45" w:rsidRPr="00346187" w:rsidRDefault="00114E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tekst javnog natječaja, </w:t>
      </w:r>
    </w:p>
    <w:p w:rsidR="00374F45" w:rsidRPr="00346187" w:rsidRDefault="00114E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upute za prijavitelje, </w:t>
      </w:r>
    </w:p>
    <w:p w:rsidR="00374F45" w:rsidRPr="00346187" w:rsidRDefault="00114E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obrasce za prijavu projekta, </w:t>
      </w:r>
    </w:p>
    <w:p w:rsidR="00374F45" w:rsidRPr="00346187" w:rsidRDefault="00114E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obrazac  za procjenu kvalitete/vrijednosti projekta i </w:t>
      </w:r>
    </w:p>
    <w:p w:rsidR="00374F45" w:rsidRPr="00346187" w:rsidRDefault="00114E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>obrasce  za provedbu projekta i izvještavanje.</w:t>
      </w:r>
    </w:p>
    <w:p w:rsidR="00374F45" w:rsidRPr="00346187" w:rsidRDefault="00374F45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:rsidR="00374F45" w:rsidRPr="00346187" w:rsidRDefault="00114EDD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>Obrasci za prijavu iz stavka 1. ove točke su:</w:t>
      </w:r>
    </w:p>
    <w:p w:rsidR="00374F45" w:rsidRPr="00346187" w:rsidRDefault="00412A89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B1 </w:t>
      </w:r>
      <w:r w:rsidR="00114EDD" w:rsidRPr="00346187">
        <w:rPr>
          <w:rFonts w:ascii="Times New Roman" w:eastAsia="Calibri Light" w:hAnsi="Times New Roman" w:cs="Times New Roman"/>
          <w:sz w:val="24"/>
          <w:szCs w:val="24"/>
        </w:rPr>
        <w:t xml:space="preserve"> Obrazac opisa programa ili projekta</w:t>
      </w:r>
    </w:p>
    <w:p w:rsidR="00374F45" w:rsidRPr="00346187" w:rsidRDefault="00412A89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B2  </w:t>
      </w:r>
      <w:r w:rsidR="00114EDD" w:rsidRPr="00346187">
        <w:rPr>
          <w:rFonts w:ascii="Times New Roman" w:eastAsia="Calibri Light" w:hAnsi="Times New Roman" w:cs="Times New Roman"/>
          <w:sz w:val="24"/>
          <w:szCs w:val="24"/>
        </w:rPr>
        <w:t>Obrazac proračuna programa ili projekta</w:t>
      </w:r>
    </w:p>
    <w:p w:rsidR="00374F45" w:rsidRPr="00346187" w:rsidRDefault="00412A89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B3 </w:t>
      </w:r>
      <w:r w:rsidR="00114EDD" w:rsidRPr="00346187">
        <w:rPr>
          <w:rFonts w:ascii="Times New Roman" w:eastAsia="Calibri Light" w:hAnsi="Times New Roman" w:cs="Times New Roman"/>
          <w:sz w:val="24"/>
          <w:szCs w:val="24"/>
        </w:rPr>
        <w:t xml:space="preserve"> Obrazac izjave o nepostojanju dvostrukog financiranja</w:t>
      </w:r>
    </w:p>
    <w:p w:rsidR="00412A89" w:rsidRDefault="00412A89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B4 </w:t>
      </w:r>
      <w:r w:rsidR="00114EDD" w:rsidRPr="00346187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Obrazac izjave o nekažnjavanju </w:t>
      </w:r>
    </w:p>
    <w:p w:rsidR="00374F45" w:rsidRDefault="00412A89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B5 </w:t>
      </w:r>
      <w:r w:rsidR="00114EDD" w:rsidRPr="00346187">
        <w:rPr>
          <w:rFonts w:ascii="Times New Roman" w:eastAsia="Calibri Light" w:hAnsi="Times New Roman" w:cs="Times New Roman"/>
          <w:sz w:val="24"/>
          <w:szCs w:val="24"/>
        </w:rPr>
        <w:t xml:space="preserve"> Obrazac </w:t>
      </w:r>
      <w:r>
        <w:rPr>
          <w:rFonts w:ascii="Times New Roman" w:eastAsia="Calibri Light" w:hAnsi="Times New Roman" w:cs="Times New Roman"/>
          <w:sz w:val="24"/>
          <w:szCs w:val="24"/>
        </w:rPr>
        <w:t>o ispunjenim obvezama</w:t>
      </w:r>
    </w:p>
    <w:p w:rsidR="00412A89" w:rsidRDefault="00412A89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B6  Ogledni obrazac izjave o suglasnosti za uvid u kaznenu evidenciju</w:t>
      </w:r>
    </w:p>
    <w:p w:rsidR="00412A89" w:rsidRDefault="00412A89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B7  Obrazac za ocjenjivanje</w:t>
      </w:r>
    </w:p>
    <w:p w:rsidR="00412A89" w:rsidRPr="00346187" w:rsidRDefault="00412A89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:rsidR="00374F45" w:rsidRPr="00346187" w:rsidRDefault="00114EDD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>Obrasci za provedbu projekta i izvještavanje iz stavka 1. ove točke su:</w:t>
      </w:r>
    </w:p>
    <w:p w:rsidR="00412A89" w:rsidRDefault="00412A89" w:rsidP="00412A89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B8  Obrazac Ugovora o financiranju</w:t>
      </w:r>
    </w:p>
    <w:p w:rsidR="00412A89" w:rsidRDefault="00412A89" w:rsidP="00412A89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C1  Obrazac opisnog izvješća</w:t>
      </w:r>
    </w:p>
    <w:p w:rsidR="00412A89" w:rsidRPr="00346187" w:rsidRDefault="00412A89" w:rsidP="00412A89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C2  Obrazac financijski izvještaj</w:t>
      </w:r>
    </w:p>
    <w:p w:rsidR="00374F45" w:rsidRPr="00346187" w:rsidRDefault="00374F45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:rsidR="00374F45" w:rsidRDefault="00114EDD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Poziv i dokumentacija za provedbu Natječaja iz točke III. objavljuje se u cijelosti na mrežnim stranicama davatelja financijskih sredstava, </w:t>
      </w:r>
      <w:hyperlink r:id="rId6">
        <w:r w:rsidRPr="00346187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www.opcina-sikirevci.hr</w:t>
        </w:r>
      </w:hyperlink>
      <w:r w:rsidRPr="00346187">
        <w:rPr>
          <w:rFonts w:ascii="Times New Roman" w:eastAsia="Calibri Light" w:hAnsi="Times New Roman" w:cs="Times New Roman"/>
          <w:sz w:val="24"/>
          <w:szCs w:val="24"/>
        </w:rPr>
        <w:t>.</w:t>
      </w:r>
    </w:p>
    <w:p w:rsidR="003C7F21" w:rsidRPr="00346187" w:rsidRDefault="003C7F21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lastRenderedPageBreak/>
        <w:t>Udrugama</w:t>
      </w:r>
      <w:r w:rsidR="002D0FC3">
        <w:rPr>
          <w:rFonts w:ascii="Times New Roman" w:eastAsia="Calibri Light" w:hAnsi="Times New Roman" w:cs="Times New Roman"/>
          <w:sz w:val="24"/>
          <w:szCs w:val="24"/>
        </w:rPr>
        <w:t xml:space="preserve"> koje su u 2019</w:t>
      </w:r>
      <w:r w:rsidRPr="003C7F21">
        <w:rPr>
          <w:rFonts w:ascii="Times New Roman" w:eastAsia="Calibri Light" w:hAnsi="Times New Roman" w:cs="Times New Roman"/>
          <w:sz w:val="24"/>
          <w:szCs w:val="24"/>
        </w:rPr>
        <w:t xml:space="preserve">. godini sklopile Ugovore o sufinanciranju projekata i programa, a u predviđenom roku nisu dostavile propisane obrasce (opisni izvještaj i financijski izvještaj) Općina Sikirevci uskratiti će dodjelu financijskih sredstava projektima </w:t>
      </w:r>
      <w:r>
        <w:rPr>
          <w:rFonts w:ascii="Times New Roman" w:eastAsia="Calibri Light" w:hAnsi="Times New Roman" w:cs="Times New Roman"/>
          <w:sz w:val="24"/>
          <w:szCs w:val="24"/>
        </w:rPr>
        <w:t xml:space="preserve">u </w:t>
      </w:r>
      <w:r w:rsidR="002D0FC3">
        <w:rPr>
          <w:rFonts w:ascii="Times New Roman" w:eastAsia="Calibri Light" w:hAnsi="Times New Roman" w:cs="Times New Roman"/>
          <w:sz w:val="24"/>
          <w:szCs w:val="24"/>
        </w:rPr>
        <w:t>2020</w:t>
      </w:r>
      <w:r w:rsidRPr="003C7F21">
        <w:rPr>
          <w:rFonts w:ascii="Times New Roman" w:eastAsia="Calibri Light" w:hAnsi="Times New Roman" w:cs="Times New Roman"/>
          <w:sz w:val="24"/>
          <w:szCs w:val="24"/>
        </w:rPr>
        <w:t>. godini.</w:t>
      </w:r>
    </w:p>
    <w:p w:rsidR="00374F45" w:rsidRPr="00346187" w:rsidRDefault="00374F45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:rsidR="003C7F21" w:rsidRDefault="00114EDD" w:rsidP="003C7F21">
      <w:pPr>
        <w:spacing w:after="0" w:line="240" w:lineRule="auto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b/>
          <w:sz w:val="24"/>
          <w:szCs w:val="24"/>
        </w:rPr>
        <w:t>V.</w:t>
      </w:r>
    </w:p>
    <w:p w:rsidR="00374F45" w:rsidRPr="003C7F21" w:rsidRDefault="00114EDD" w:rsidP="003C7F21">
      <w:pPr>
        <w:spacing w:after="0" w:line="240" w:lineRule="auto"/>
        <w:rPr>
          <w:rFonts w:ascii="Times New Roman" w:eastAsia="Calibri Light" w:hAnsi="Times New Roman" w:cs="Times New Roman"/>
          <w:b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>Davatelj financijskih sredstava nadležan je za provedbu postupka.</w:t>
      </w:r>
    </w:p>
    <w:p w:rsidR="00374F45" w:rsidRPr="00346187" w:rsidRDefault="00114EDD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>Sukladno Uputama za prijavitelje, davatelj financijskih sredstava će osnovati Povjerenstvo za pripremu i provedbu natječaja čija je zadaća:</w:t>
      </w:r>
    </w:p>
    <w:p w:rsidR="00374F45" w:rsidRPr="00346187" w:rsidRDefault="00114ED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>otvaranje prijava i provjera propisanih uvjeta natječaja,</w:t>
      </w:r>
    </w:p>
    <w:p w:rsidR="00374F45" w:rsidRPr="00346187" w:rsidRDefault="00114ED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>procjena zaprimljenih projektnih prijava koje su uspješno ispunile provjeru propisanih uvjeta natječaja.</w:t>
      </w:r>
    </w:p>
    <w:p w:rsidR="00374F45" w:rsidRPr="00346187" w:rsidRDefault="00374F45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:rsidR="00374F45" w:rsidRPr="00346187" w:rsidRDefault="00114EDD">
      <w:pPr>
        <w:spacing w:after="0" w:line="240" w:lineRule="auto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b/>
          <w:sz w:val="24"/>
          <w:szCs w:val="24"/>
        </w:rPr>
        <w:t>VI.</w:t>
      </w:r>
    </w:p>
    <w:p w:rsidR="00374F45" w:rsidRDefault="00114EDD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Na temelju provedenog postupka ocjenjivanja projekata, čelnik davatelja financijskih sredstava donosi Odluku o raspodjeli sredstava za </w:t>
      </w:r>
      <w:r w:rsidR="00412A89">
        <w:rPr>
          <w:rFonts w:ascii="Times New Roman" w:eastAsia="Calibri Light" w:hAnsi="Times New Roman" w:cs="Times New Roman"/>
          <w:sz w:val="24"/>
          <w:szCs w:val="24"/>
        </w:rPr>
        <w:t>su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>financiranje projekata udruga.</w:t>
      </w:r>
    </w:p>
    <w:p w:rsidR="00374F45" w:rsidRPr="00346187" w:rsidRDefault="00114EDD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>Na temelju Odluke iz stavka 1. ove točke davatelj financijskih sredstava će s nositeljem projekta sklopiti pojedinačne ugovore.</w:t>
      </w:r>
    </w:p>
    <w:p w:rsidR="00374F45" w:rsidRPr="00346187" w:rsidRDefault="00374F45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:rsidR="00374F45" w:rsidRPr="00346187" w:rsidRDefault="00114EDD">
      <w:pPr>
        <w:spacing w:after="0" w:line="240" w:lineRule="auto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b/>
          <w:sz w:val="24"/>
          <w:szCs w:val="24"/>
        </w:rPr>
        <w:t>VII.</w:t>
      </w:r>
    </w:p>
    <w:p w:rsidR="00374F45" w:rsidRPr="00346187" w:rsidRDefault="00114EDD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Odluka iz točke VI. bit će objavljena na mrežnim stranicama davatelja financijskih sredstava </w:t>
      </w:r>
      <w:hyperlink r:id="rId7">
        <w:r w:rsidRPr="00346187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www.opcina-sikirevci.hr</w:t>
        </w:r>
      </w:hyperlink>
      <w:r w:rsidRPr="0034618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:rsidR="00374F45" w:rsidRPr="00346187" w:rsidRDefault="00374F45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:rsidR="00374F45" w:rsidRPr="00346187" w:rsidRDefault="00114EDD">
      <w:pPr>
        <w:spacing w:after="0" w:line="240" w:lineRule="auto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b/>
          <w:sz w:val="24"/>
          <w:szCs w:val="24"/>
        </w:rPr>
        <w:t>VIII.</w:t>
      </w:r>
    </w:p>
    <w:p w:rsidR="00374F45" w:rsidRPr="00346187" w:rsidRDefault="00114EDD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Za provedbu ove Odluke zadužuje se  Jedinstveni upravni odjel davatelja financijskih sredstava. </w:t>
      </w:r>
    </w:p>
    <w:p w:rsidR="00374F45" w:rsidRPr="00346187" w:rsidRDefault="00374F45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:rsidR="00374F45" w:rsidRPr="00346187" w:rsidRDefault="00114EDD">
      <w:pPr>
        <w:spacing w:after="0" w:line="240" w:lineRule="auto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b/>
          <w:sz w:val="24"/>
          <w:szCs w:val="24"/>
        </w:rPr>
        <w:t>IX.</w:t>
      </w:r>
    </w:p>
    <w:p w:rsidR="00374F45" w:rsidRPr="00346187" w:rsidRDefault="00114EDD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>Ova Odluka stupa na snagu danom donošenja.</w:t>
      </w:r>
    </w:p>
    <w:p w:rsidR="00374F45" w:rsidRPr="00346187" w:rsidRDefault="00374F45">
      <w:p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:rsidR="00374F45" w:rsidRPr="00346187" w:rsidRDefault="00114EDD">
      <w:pPr>
        <w:suppressAutoHyphens/>
        <w:spacing w:after="0" w:line="240" w:lineRule="auto"/>
        <w:jc w:val="right"/>
        <w:rPr>
          <w:rFonts w:ascii="Times New Roman" w:eastAsia="Calibri Light" w:hAnsi="Times New Roman" w:cs="Times New Roman"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sz w:val="24"/>
          <w:szCs w:val="24"/>
        </w:rPr>
        <w:t>OPĆINSKI NAČELNIK</w:t>
      </w:r>
    </w:p>
    <w:p w:rsidR="00374F45" w:rsidRPr="00346187" w:rsidRDefault="00114EDD">
      <w:pPr>
        <w:suppressAutoHyphens/>
        <w:spacing w:after="0" w:line="240" w:lineRule="auto"/>
        <w:jc w:val="right"/>
        <w:rPr>
          <w:rFonts w:ascii="Times New Roman" w:eastAsia="Calibri Light" w:hAnsi="Times New Roman" w:cs="Times New Roman"/>
          <w:b/>
          <w:sz w:val="24"/>
          <w:szCs w:val="24"/>
        </w:rPr>
      </w:pPr>
      <w:r w:rsidRPr="00346187">
        <w:rPr>
          <w:rFonts w:ascii="Times New Roman" w:eastAsia="Calibri Light" w:hAnsi="Times New Roman" w:cs="Times New Roman"/>
          <w:b/>
          <w:sz w:val="24"/>
          <w:szCs w:val="24"/>
        </w:rPr>
        <w:t>Josip Nikolić, dipl.ing.</w:t>
      </w:r>
    </w:p>
    <w:p w:rsidR="00374F45" w:rsidRPr="00346187" w:rsidRDefault="00374F45">
      <w:pPr>
        <w:suppressAutoHyphens/>
        <w:spacing w:after="0" w:line="240" w:lineRule="auto"/>
        <w:jc w:val="right"/>
        <w:rPr>
          <w:rFonts w:ascii="Times New Roman" w:eastAsia="Calibri Light" w:hAnsi="Times New Roman" w:cs="Times New Roman"/>
          <w:b/>
          <w:sz w:val="24"/>
          <w:szCs w:val="24"/>
        </w:rPr>
      </w:pPr>
    </w:p>
    <w:p w:rsidR="00374F45" w:rsidRPr="00346187" w:rsidRDefault="00374F45">
      <w:pPr>
        <w:suppressAutoHyphens/>
        <w:spacing w:after="0" w:line="240" w:lineRule="auto"/>
        <w:jc w:val="right"/>
        <w:rPr>
          <w:rFonts w:ascii="Times New Roman" w:eastAsia="Calibri Light" w:hAnsi="Times New Roman" w:cs="Times New Roman"/>
          <w:b/>
          <w:sz w:val="24"/>
          <w:szCs w:val="24"/>
        </w:rPr>
      </w:pPr>
    </w:p>
    <w:p w:rsidR="00374F45" w:rsidRPr="00346187" w:rsidRDefault="00374F45">
      <w:pPr>
        <w:suppressAutoHyphens/>
        <w:spacing w:after="0" w:line="240" w:lineRule="auto"/>
        <w:jc w:val="right"/>
        <w:rPr>
          <w:rFonts w:ascii="Times New Roman" w:eastAsia="Calibri Light" w:hAnsi="Times New Roman" w:cs="Times New Roman"/>
          <w:b/>
          <w:sz w:val="24"/>
          <w:szCs w:val="24"/>
        </w:rPr>
      </w:pPr>
    </w:p>
    <w:p w:rsidR="00374F45" w:rsidRPr="00346187" w:rsidRDefault="00374F45">
      <w:pPr>
        <w:suppressAutoHyphens/>
        <w:spacing w:after="0" w:line="240" w:lineRule="auto"/>
        <w:jc w:val="right"/>
        <w:rPr>
          <w:rFonts w:ascii="Times New Roman" w:eastAsia="Calibri Light" w:hAnsi="Times New Roman" w:cs="Times New Roman"/>
          <w:b/>
          <w:sz w:val="24"/>
          <w:szCs w:val="24"/>
        </w:rPr>
      </w:pPr>
    </w:p>
    <w:p w:rsidR="00374F45" w:rsidRPr="00346187" w:rsidRDefault="00374F45">
      <w:pPr>
        <w:suppressAutoHyphens/>
        <w:spacing w:after="0" w:line="240" w:lineRule="auto"/>
        <w:jc w:val="right"/>
        <w:rPr>
          <w:rFonts w:ascii="Times New Roman" w:eastAsia="Calibri Light" w:hAnsi="Times New Roman" w:cs="Times New Roman"/>
          <w:b/>
          <w:sz w:val="24"/>
          <w:szCs w:val="24"/>
        </w:rPr>
      </w:pPr>
    </w:p>
    <w:p w:rsidR="00374F45" w:rsidRPr="00346187" w:rsidRDefault="00EB1696">
      <w:pPr>
        <w:suppressAutoHyphens/>
        <w:spacing w:after="0" w:line="240" w:lineRule="auto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KLASA: 402-08/20</w:t>
      </w:r>
      <w:r w:rsidR="003116A6">
        <w:rPr>
          <w:rFonts w:ascii="Times New Roman" w:eastAsia="Calibri Light" w:hAnsi="Times New Roman" w:cs="Times New Roman"/>
          <w:sz w:val="24"/>
          <w:szCs w:val="24"/>
        </w:rPr>
        <w:t>-01/1</w:t>
      </w:r>
    </w:p>
    <w:p w:rsidR="00374F45" w:rsidRPr="00346187" w:rsidRDefault="00EB1696">
      <w:pPr>
        <w:suppressAutoHyphens/>
        <w:spacing w:after="0" w:line="240" w:lineRule="auto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URBROJ: 2178/26-01-20</w:t>
      </w:r>
      <w:r w:rsidR="00114EDD" w:rsidRPr="00346187">
        <w:rPr>
          <w:rFonts w:ascii="Times New Roman" w:eastAsia="Calibri Light" w:hAnsi="Times New Roman" w:cs="Times New Roman"/>
          <w:sz w:val="24"/>
          <w:szCs w:val="24"/>
        </w:rPr>
        <w:t>-1</w:t>
      </w:r>
    </w:p>
    <w:p w:rsidR="00374F45" w:rsidRPr="00346187" w:rsidRDefault="0070051F">
      <w:pPr>
        <w:suppressAutoHyphens/>
        <w:spacing w:after="0" w:line="240" w:lineRule="auto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Sikirevci, </w:t>
      </w:r>
      <w:r w:rsidR="003116A6" w:rsidRPr="003116A6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15. siječanj 2020</w:t>
      </w:r>
      <w:r w:rsidR="00114EDD" w:rsidRPr="003116A6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. godine</w:t>
      </w:r>
    </w:p>
    <w:p w:rsidR="00374F45" w:rsidRPr="00346187" w:rsidRDefault="00374F45">
      <w:pPr>
        <w:suppressAutoHyphens/>
        <w:spacing w:after="0" w:line="240" w:lineRule="auto"/>
        <w:rPr>
          <w:rFonts w:ascii="Times New Roman" w:eastAsia="Calibri Light" w:hAnsi="Times New Roman" w:cs="Times New Roman"/>
          <w:b/>
          <w:sz w:val="24"/>
          <w:szCs w:val="24"/>
        </w:rPr>
      </w:pPr>
    </w:p>
    <w:p w:rsidR="00374F45" w:rsidRPr="00346187" w:rsidRDefault="00374F45">
      <w:pPr>
        <w:spacing w:after="240" w:line="240" w:lineRule="auto"/>
        <w:ind w:left="4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4F45" w:rsidRPr="00346187" w:rsidRDefault="0037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74F45" w:rsidRPr="00346187" w:rsidSect="00F52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2870"/>
    <w:multiLevelType w:val="multilevel"/>
    <w:tmpl w:val="6F44E7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4E2D83"/>
    <w:multiLevelType w:val="multilevel"/>
    <w:tmpl w:val="6FA22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4F45"/>
    <w:rsid w:val="00081EA7"/>
    <w:rsid w:val="00082738"/>
    <w:rsid w:val="00114EDD"/>
    <w:rsid w:val="001D7703"/>
    <w:rsid w:val="002D0FC3"/>
    <w:rsid w:val="003116A6"/>
    <w:rsid w:val="00346187"/>
    <w:rsid w:val="00374F45"/>
    <w:rsid w:val="003938A6"/>
    <w:rsid w:val="003C7F21"/>
    <w:rsid w:val="00412A89"/>
    <w:rsid w:val="0066549A"/>
    <w:rsid w:val="0070051F"/>
    <w:rsid w:val="007F3ED8"/>
    <w:rsid w:val="0089328C"/>
    <w:rsid w:val="00967854"/>
    <w:rsid w:val="00D554AF"/>
    <w:rsid w:val="00DA5458"/>
    <w:rsid w:val="00DF55B8"/>
    <w:rsid w:val="00E7323B"/>
    <w:rsid w:val="00E83B9B"/>
    <w:rsid w:val="00EB1696"/>
    <w:rsid w:val="00EC5FA3"/>
    <w:rsid w:val="00ED4CBD"/>
    <w:rsid w:val="00F5264D"/>
    <w:rsid w:val="00F67C8D"/>
    <w:rsid w:val="00FC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cina-oprisavci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cina-oprisavci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8F68A-159D-4C6E-92CC-7F046598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</cp:lastModifiedBy>
  <cp:revision>15</cp:revision>
  <cp:lastPrinted>2020-01-15T07:23:00Z</cp:lastPrinted>
  <dcterms:created xsi:type="dcterms:W3CDTF">2019-01-02T11:58:00Z</dcterms:created>
  <dcterms:modified xsi:type="dcterms:W3CDTF">2020-01-15T07:48:00Z</dcterms:modified>
</cp:coreProperties>
</file>