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Temeljem Zakona o prora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čunu("Narodne Novine"br. 87/08,136/12 i 15/15),  članka 82. Pravilnika o proračunskom računovodstvu i računskom planu (Narodne novine br. 124/14 i 115/15) i članka 30. Statuta Općine Sikirevci (Službeni vjesnik Brodsko-posavske županije br. 01/18. ), Općinsko vijeće Općine Sikirevci na 15. redovnoj sjednici održanoj dana  1.ožujka 2019. godine, donijelo je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O D L U K U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O RASPODJELI REZULTATA POSLOVANJA ZA 2018. GODINU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Članak 1.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 xml:space="preserve">Ovom se Odlukom utvr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đuje namjena i raspodjela ostvarenog viška prihoda utvrđenog Godišnjim izvještajem o izvršenju proračuna Općine Sikirevci za 2018. godinu.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Članak 2.</w:t>
      </w:r>
    </w:p>
    <w:p>
      <w:pPr>
        <w:spacing w:before="0" w:after="20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Stanje na osnovnim 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čunima podskupine 922 koja su iskazana u financijskim izvještajima za proračunsku godinu na dan 31. prosinca 2018. godine, utvrđena su kako slijedi:</w:t>
      </w:r>
    </w:p>
    <w:tbl>
      <w:tblPr/>
      <w:tblGrid>
        <w:gridCol w:w="1242"/>
        <w:gridCol w:w="5812"/>
        <w:gridCol w:w="2234"/>
      </w:tblGrid>
      <w:tr>
        <w:trPr>
          <w:trHeight w:val="1" w:hRule="atLeast"/>
          <w:jc w:val="left"/>
        </w:trPr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Broj ra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čuna</w:t>
            </w:r>
          </w:p>
        </w:tc>
        <w:tc>
          <w:tcPr>
            <w:tcW w:w="5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Naziv ra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čuna</w:t>
            </w:r>
          </w:p>
        </w:tc>
        <w:tc>
          <w:tcPr>
            <w:tcW w:w="22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Stanje 31.12.2018.</w:t>
            </w:r>
          </w:p>
        </w:tc>
      </w:tr>
      <w:tr>
        <w:trPr>
          <w:trHeight w:val="1" w:hRule="atLeast"/>
          <w:jc w:val="left"/>
        </w:trPr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92211</w:t>
            </w:r>
          </w:p>
        </w:tc>
        <w:tc>
          <w:tcPr>
            <w:tcW w:w="5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Vi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šak prihoda poslovanja 2018. god.</w:t>
            </w:r>
          </w:p>
        </w:tc>
        <w:tc>
          <w:tcPr>
            <w:tcW w:w="22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  2.641.103,84</w:t>
            </w:r>
          </w:p>
        </w:tc>
      </w:tr>
      <w:tr>
        <w:trPr>
          <w:trHeight w:val="1" w:hRule="atLeast"/>
          <w:jc w:val="left"/>
        </w:trPr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9221</w:t>
            </w:r>
          </w:p>
        </w:tc>
        <w:tc>
          <w:tcPr>
            <w:tcW w:w="5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Vi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šak prihoda iz prethodne 2017. godine </w:t>
            </w:r>
          </w:p>
        </w:tc>
        <w:tc>
          <w:tcPr>
            <w:tcW w:w="22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14.762.691,83</w:t>
            </w:r>
          </w:p>
        </w:tc>
      </w:tr>
      <w:tr>
        <w:trPr>
          <w:trHeight w:val="1" w:hRule="atLeast"/>
          <w:jc w:val="left"/>
        </w:trPr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92222</w:t>
            </w:r>
          </w:p>
        </w:tc>
        <w:tc>
          <w:tcPr>
            <w:tcW w:w="5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Manjak prihoda od nefinancijske imovine </w:t>
            </w:r>
          </w:p>
        </w:tc>
        <w:tc>
          <w:tcPr>
            <w:tcW w:w="22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- 13.903.995,29</w:t>
            </w:r>
          </w:p>
        </w:tc>
      </w:tr>
      <w:tr>
        <w:trPr>
          <w:trHeight w:val="1" w:hRule="atLeast"/>
          <w:jc w:val="left"/>
        </w:trPr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92213</w:t>
            </w:r>
          </w:p>
        </w:tc>
        <w:tc>
          <w:tcPr>
            <w:tcW w:w="5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Vi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šak primitaka od financijske imovine</w:t>
            </w:r>
          </w:p>
        </w:tc>
        <w:tc>
          <w:tcPr>
            <w:tcW w:w="22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  67,80</w:t>
            </w:r>
          </w:p>
        </w:tc>
      </w:tr>
      <w:tr>
        <w:trPr>
          <w:trHeight w:val="1" w:hRule="atLeast"/>
          <w:jc w:val="left"/>
        </w:trPr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Vi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šak prihoda i primitaka za prijenos u sljedeće obračunsko razdoblje</w:t>
            </w:r>
          </w:p>
        </w:tc>
        <w:tc>
          <w:tcPr>
            <w:tcW w:w="22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   3.499.868,18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Članak 3.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 xml:space="preserve">Raspolo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živim viškom prihoda poslovanja na računu 92211 od 2.641.103,84kn dodaju se višak prihoda iz prethodne 2017. godine u iznosu od 14.762.691,83kn i višak primitaka od financijske imovine 67,80 kn, što ukupno iznosi =17.403.863,47kn, pokriva se manjak prihoda od nefinancijske imovine na računu 92222 u iznosu od -13.903.995,29 kn 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Na 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čunu 92211 višak prihoda poslovanja ostaje višak prihoda u iznosu od 3.499.868,18 kn za prijenos u sljedeće obračunsko razdoblje.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Članak 4.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Nakon izvr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šene raspodjele,  utvrđen je preostali raspoloživi višak prihoda poslovanja Općine Sikirevci  na dan 31.12.2018. godine u iznosu od 3.499.868,16 kuna.</w:t>
      </w:r>
    </w:p>
    <w:p>
      <w:pPr>
        <w:spacing w:before="0" w:after="20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Utvr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đeni višak, rasoređeni  su po računu i iznosima kako slijedi:</w:t>
      </w:r>
    </w:p>
    <w:tbl>
      <w:tblPr/>
      <w:tblGrid>
        <w:gridCol w:w="837"/>
        <w:gridCol w:w="5650"/>
        <w:gridCol w:w="1134"/>
        <w:gridCol w:w="1667"/>
      </w:tblGrid>
      <w:tr>
        <w:trPr>
          <w:trHeight w:val="510" w:hRule="auto"/>
          <w:jc w:val="left"/>
        </w:trPr>
        <w:tc>
          <w:tcPr>
            <w:tcW w:w="8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Redni br.</w:t>
            </w:r>
          </w:p>
        </w:tc>
        <w:tc>
          <w:tcPr>
            <w:tcW w:w="56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Opis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Ra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čun</w:t>
            </w:r>
          </w:p>
        </w:tc>
        <w:tc>
          <w:tcPr>
            <w:tcW w:w="1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Iznos</w:t>
            </w:r>
          </w:p>
        </w:tc>
      </w:tr>
      <w:tr>
        <w:trPr>
          <w:trHeight w:val="555" w:hRule="auto"/>
          <w:jc w:val="left"/>
        </w:trPr>
        <w:tc>
          <w:tcPr>
            <w:tcW w:w="8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1.</w:t>
            </w:r>
          </w:p>
        </w:tc>
        <w:tc>
          <w:tcPr>
            <w:tcW w:w="56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Rashodi po programu ZA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ŽELI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3111-3237</w:t>
            </w:r>
          </w:p>
        </w:tc>
        <w:tc>
          <w:tcPr>
            <w:tcW w:w="1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354.714,74</w:t>
            </w:r>
          </w:p>
        </w:tc>
      </w:tr>
      <w:tr>
        <w:trPr>
          <w:trHeight w:val="200" w:hRule="auto"/>
          <w:jc w:val="left"/>
        </w:trPr>
        <w:tc>
          <w:tcPr>
            <w:tcW w:w="8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2.</w:t>
            </w:r>
          </w:p>
        </w:tc>
        <w:tc>
          <w:tcPr>
            <w:tcW w:w="56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Rashodi -doprinosi stru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čno osposobljavanje bez zasnivanja radnog odnosa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3241</w:t>
            </w:r>
          </w:p>
        </w:tc>
        <w:tc>
          <w:tcPr>
            <w:tcW w:w="1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  2.556,05</w:t>
            </w:r>
          </w:p>
        </w:tc>
      </w:tr>
      <w:tr>
        <w:trPr>
          <w:trHeight w:val="270" w:hRule="auto"/>
          <w:jc w:val="left"/>
        </w:trPr>
        <w:tc>
          <w:tcPr>
            <w:tcW w:w="8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3.</w:t>
            </w:r>
          </w:p>
        </w:tc>
        <w:tc>
          <w:tcPr>
            <w:tcW w:w="56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Izrada II.Izmjene i dopune PPUO Sikirevci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4263</w:t>
            </w:r>
          </w:p>
        </w:tc>
        <w:tc>
          <w:tcPr>
            <w:tcW w:w="1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28.920,00</w:t>
            </w:r>
          </w:p>
        </w:tc>
      </w:tr>
      <w:tr>
        <w:trPr>
          <w:trHeight w:val="200" w:hRule="auto"/>
          <w:jc w:val="left"/>
        </w:trPr>
        <w:tc>
          <w:tcPr>
            <w:tcW w:w="8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4.</w:t>
            </w:r>
          </w:p>
        </w:tc>
        <w:tc>
          <w:tcPr>
            <w:tcW w:w="56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Rashodi za pla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će zaposlenih po Javnim radovima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311-313</w:t>
            </w:r>
          </w:p>
        </w:tc>
        <w:tc>
          <w:tcPr>
            <w:tcW w:w="1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58.677,37</w:t>
            </w:r>
          </w:p>
        </w:tc>
      </w:tr>
      <w:tr>
        <w:trPr>
          <w:trHeight w:val="1" w:hRule="atLeast"/>
          <w:jc w:val="left"/>
        </w:trPr>
        <w:tc>
          <w:tcPr>
            <w:tcW w:w="8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  5.</w:t>
            </w:r>
          </w:p>
        </w:tc>
        <w:tc>
          <w:tcPr>
            <w:tcW w:w="56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Rekonstrukcija  pje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šačkih staza u oba naselja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4213</w:t>
            </w:r>
          </w:p>
        </w:tc>
        <w:tc>
          <w:tcPr>
            <w:tcW w:w="1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450.000,00</w:t>
            </w:r>
          </w:p>
        </w:tc>
      </w:tr>
      <w:tr>
        <w:trPr>
          <w:trHeight w:val="225" w:hRule="auto"/>
          <w:jc w:val="left"/>
        </w:trPr>
        <w:tc>
          <w:tcPr>
            <w:tcW w:w="8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  6.</w:t>
            </w:r>
          </w:p>
        </w:tc>
        <w:tc>
          <w:tcPr>
            <w:tcW w:w="56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Izgradnja dje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čje igralište-Jelas i park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4212</w:t>
            </w:r>
          </w:p>
        </w:tc>
        <w:tc>
          <w:tcPr>
            <w:tcW w:w="1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335.000,00</w:t>
            </w:r>
          </w:p>
        </w:tc>
      </w:tr>
      <w:tr>
        <w:trPr>
          <w:trHeight w:val="240" w:hRule="auto"/>
          <w:jc w:val="left"/>
        </w:trPr>
        <w:tc>
          <w:tcPr>
            <w:tcW w:w="8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  7.</w:t>
            </w:r>
          </w:p>
        </w:tc>
        <w:tc>
          <w:tcPr>
            <w:tcW w:w="56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Ulaganja u objekt stare op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ćinske zgrade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4511</w:t>
            </w:r>
          </w:p>
        </w:tc>
        <w:tc>
          <w:tcPr>
            <w:tcW w:w="1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162.000,00</w:t>
            </w:r>
          </w:p>
        </w:tc>
      </w:tr>
      <w:tr>
        <w:trPr>
          <w:trHeight w:val="1" w:hRule="atLeast"/>
          <w:jc w:val="left"/>
        </w:trPr>
        <w:tc>
          <w:tcPr>
            <w:tcW w:w="8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  8.</w:t>
            </w:r>
          </w:p>
        </w:tc>
        <w:tc>
          <w:tcPr>
            <w:tcW w:w="56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Ure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đenje okoliša ispred objekta stara općina 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4212</w:t>
            </w:r>
          </w:p>
        </w:tc>
        <w:tc>
          <w:tcPr>
            <w:tcW w:w="1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38.000,00</w:t>
            </w:r>
          </w:p>
        </w:tc>
      </w:tr>
      <w:tr>
        <w:trPr>
          <w:trHeight w:val="1" w:hRule="atLeast"/>
          <w:jc w:val="left"/>
        </w:trPr>
        <w:tc>
          <w:tcPr>
            <w:tcW w:w="8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  9.</w:t>
            </w:r>
          </w:p>
        </w:tc>
        <w:tc>
          <w:tcPr>
            <w:tcW w:w="56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Geodetska podloga,izrada projektne dokumentacije i izgradnja dje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čjeg vrtića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4212</w:t>
            </w:r>
          </w:p>
        </w:tc>
        <w:tc>
          <w:tcPr>
            <w:tcW w:w="1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350.000,00</w:t>
            </w:r>
          </w:p>
        </w:tc>
      </w:tr>
      <w:tr>
        <w:trPr>
          <w:trHeight w:val="1" w:hRule="atLeast"/>
          <w:jc w:val="left"/>
        </w:trPr>
        <w:tc>
          <w:tcPr>
            <w:tcW w:w="8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 10.</w:t>
            </w:r>
          </w:p>
        </w:tc>
        <w:tc>
          <w:tcPr>
            <w:tcW w:w="56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Izgradnja grobnih staza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4213</w:t>
            </w:r>
          </w:p>
        </w:tc>
        <w:tc>
          <w:tcPr>
            <w:tcW w:w="1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30.000,00</w:t>
            </w:r>
          </w:p>
        </w:tc>
      </w:tr>
      <w:tr>
        <w:trPr>
          <w:trHeight w:val="255" w:hRule="auto"/>
          <w:jc w:val="left"/>
        </w:trPr>
        <w:tc>
          <w:tcPr>
            <w:tcW w:w="8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 11.</w:t>
            </w:r>
          </w:p>
        </w:tc>
        <w:tc>
          <w:tcPr>
            <w:tcW w:w="56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Izgradnja nerazvrstanih cesta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4213</w:t>
            </w:r>
          </w:p>
        </w:tc>
        <w:tc>
          <w:tcPr>
            <w:tcW w:w="1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 990.000,00</w:t>
            </w:r>
          </w:p>
        </w:tc>
      </w:tr>
      <w:tr>
        <w:trPr>
          <w:trHeight w:val="200" w:hRule="auto"/>
          <w:jc w:val="left"/>
        </w:trPr>
        <w:tc>
          <w:tcPr>
            <w:tcW w:w="8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 12.</w:t>
            </w:r>
          </w:p>
        </w:tc>
        <w:tc>
          <w:tcPr>
            <w:tcW w:w="56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Zavr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šna faza izgradnje Vatrogasnog doma u Sikirevcima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4212</w:t>
            </w:r>
          </w:p>
        </w:tc>
        <w:tc>
          <w:tcPr>
            <w:tcW w:w="1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150.000,00</w:t>
            </w:r>
          </w:p>
        </w:tc>
      </w:tr>
      <w:tr>
        <w:trPr>
          <w:trHeight w:val="200" w:hRule="auto"/>
          <w:jc w:val="left"/>
        </w:trPr>
        <w:tc>
          <w:tcPr>
            <w:tcW w:w="8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 13.</w:t>
            </w:r>
          </w:p>
        </w:tc>
        <w:tc>
          <w:tcPr>
            <w:tcW w:w="56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Izgradnja okoli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ša ispred vatrogasnog doma Sikirevci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4212 </w:t>
            </w:r>
          </w:p>
        </w:tc>
        <w:tc>
          <w:tcPr>
            <w:tcW w:w="1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250.000,00</w:t>
            </w:r>
          </w:p>
        </w:tc>
      </w:tr>
      <w:tr>
        <w:trPr>
          <w:trHeight w:val="225" w:hRule="auto"/>
          <w:jc w:val="left"/>
        </w:trPr>
        <w:tc>
          <w:tcPr>
            <w:tcW w:w="8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 14.</w:t>
            </w:r>
          </w:p>
        </w:tc>
        <w:tc>
          <w:tcPr>
            <w:tcW w:w="56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Nabava opreme i vozila -traktor 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4231</w:t>
            </w:r>
          </w:p>
        </w:tc>
        <w:tc>
          <w:tcPr>
            <w:tcW w:w="1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 100.000,00</w:t>
            </w:r>
          </w:p>
        </w:tc>
      </w:tr>
      <w:tr>
        <w:trPr>
          <w:trHeight w:val="1" w:hRule="atLeast"/>
          <w:jc w:val="left"/>
        </w:trPr>
        <w:tc>
          <w:tcPr>
            <w:tcW w:w="8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15.</w:t>
            </w:r>
          </w:p>
        </w:tc>
        <w:tc>
          <w:tcPr>
            <w:tcW w:w="56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Projektna dokumentacija za rekonstrukciju i obnovu poljskih putova 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4263</w:t>
            </w:r>
          </w:p>
        </w:tc>
        <w:tc>
          <w:tcPr>
            <w:tcW w:w="1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 200.000,00</w:t>
            </w:r>
          </w:p>
        </w:tc>
      </w:tr>
      <w:tr>
        <w:trPr>
          <w:trHeight w:val="1" w:hRule="atLeast"/>
          <w:jc w:val="left"/>
        </w:trPr>
        <w:tc>
          <w:tcPr>
            <w:tcW w:w="8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Ukupno: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3.499.868,16</w:t>
            </w:r>
          </w:p>
        </w:tc>
      </w:tr>
    </w:tbl>
    <w:p>
      <w:pPr>
        <w:spacing w:before="0" w:after="20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Utvr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đeni dio viška prihoda poslovanja sadrži neutrošena sredstva u sveukupnom iznosu od 444.868,16 kn  ,a sastoji se od sredstava:  primljena od Ministarstva kulture kao financijska pomoć za financiranje rekonstrukcije objekta stara općinska zgrada u iznosu od 50.000,00kn  , od fonda solidarnosti Europske unije i HZZ , koja će se rasporediti za rashode za provedbu programa ZAŽELI u iznosu od 354.714,74 ,  za realizaciju programa JAVNI RADOVI primljena sredstva od HZZ-a u iznosu od 58.677,37 kn ,  od Ministarstva graditeljstva i prostornog uređenja u iznosu 28.920,00 kn za financiranje II.Izmjene i dopune PPUO Sikirevci u iznosu od 28.920,00 kn, te sredstva od HZZ-a u iznosu od 2.556,05 kn za rashode doprinosa zaposlenika na stručnom osposobljavanju bez zasnivanja radnog odnosa 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 xml:space="preserve">Preostali vi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šak prihoda poslovanja u iznosu od 3.055.000,00 kuna  namjenjena su za financiranje  komunalne infrastrukture koja se planira graditi u 2019. godini sukladno  Programu građenja komunalne infrastrukture Općine Sikirevci.</w:t>
      </w:r>
    </w:p>
    <w:p>
      <w:pPr>
        <w:spacing w:before="0" w:after="200" w:line="276"/>
        <w:ind w:right="0" w:left="0" w:firstLine="708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708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Članak 5.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 xml:space="preserve">Ova Odluka stupa na snagu dan nakon objave u ''Slu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žbenom vjesniku Brodsko-posavske županije''.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ĆINA SIKIREVCI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ĆINSKO VIJEĆE</w:t>
      </w:r>
    </w:p>
    <w:p>
      <w:pPr>
        <w:spacing w:before="0" w:after="200" w:line="60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                PREDSJEDNIK OP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ĆINSKOG VIJEĆA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Josip Mati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ć,v.r.</w:t>
      </w:r>
    </w:p>
    <w:tbl>
      <w:tblPr/>
      <w:tblGrid>
        <w:gridCol w:w="3272"/>
        <w:gridCol w:w="3041"/>
        <w:gridCol w:w="2867"/>
      </w:tblGrid>
      <w:tr>
        <w:trPr>
          <w:trHeight w:val="254" w:hRule="auto"/>
          <w:jc w:val="left"/>
        </w:trPr>
        <w:tc>
          <w:tcPr>
            <w:tcW w:w="327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KLASA: 400-05/19-01/1</w:t>
            </w:r>
          </w:p>
        </w:tc>
        <w:tc>
          <w:tcPr>
            <w:tcW w:w="304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6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</w:tr>
      <w:tr>
        <w:trPr>
          <w:trHeight w:val="374" w:hRule="auto"/>
          <w:jc w:val="left"/>
        </w:trPr>
        <w:tc>
          <w:tcPr>
            <w:tcW w:w="327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URBROJ: 2178/26-02-19-2</w:t>
            </w:r>
          </w:p>
        </w:tc>
        <w:tc>
          <w:tcPr>
            <w:tcW w:w="304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6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10" w:hRule="auto"/>
          <w:jc w:val="left"/>
        </w:trPr>
        <w:tc>
          <w:tcPr>
            <w:tcW w:w="327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Sikirevci; 01.o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žujak       2019.               </w:t>
            </w:r>
          </w:p>
        </w:tc>
        <w:tc>
          <w:tcPr>
            <w:tcW w:w="304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6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