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84. st.2.Pravilnika o proračunskom računovodstvu i računskom planu (“Narodne novine” br. 124/14,115/15 i 87/16) i članka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žbeni vjesnik Brodsko-posavske županije“, broj 1/18) , Općinsko vijeće Općine Sikirevci na 22.sjednici, od 2.ožujka 2020.g., donosi: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 D L U K 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 raspodjeli rezultata za 2019. godinu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Stanja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đena na osnovnim računima podskupine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šak/manjak prihoda na dan 31.12.2019. godine iznose: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92211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šak prihoda poslovanja................................................19.668.978,00 kn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92213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šak primitaka od financijske imovine ………………        232.716,00 kn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92222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Manjak prihoda od nefinancijske imovine…………….- 17.914.648, 00  kn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2.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škom prihoda poslovanja pokriva se iskazani manjak prihoda od nefinancijske imovine u iznosu -17.914.648,00  kn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Razlika, ostvareni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šak prihoda poslovanja u iznosu 1.987.046,00kn iskoristit će se za rashode poslovanja i  nabavu nefinancijske imovine u 2020.godini.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3.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Ova odluka stupa na snagu prvog dana nakon objave 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žbenom vjesniku Brodsko-posavske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županije“, a objavit će se i na internetskoj stranici Općine Sikirevci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www.opcina-sikirevci.hr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ĆINSKO VIJEĆE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ĆINE SIKIREVCI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PREDSJEDNIK OP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ĆINSKOG VIJEĆA: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Josip Mati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KLASA: 400-05/20-01/1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URBROJ:2178/26-02-20-1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Sikirevci,2.o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žujka 2020.g.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pcina-sikirevci.h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