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2BF" w:rsidRDefault="005C6892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Na temelju članka 72. Zakona o komunalnom gospodarstvu („Narodne novine“ broj 68/18 i 110/18), te članaka 30. Statuta Općine </w:t>
      </w:r>
      <w:proofErr w:type="spellStart"/>
      <w:r>
        <w:rPr>
          <w:rFonts w:ascii="Times New Roman" w:eastAsia="Times New Roman" w:hAnsi="Times New Roman" w:cs="Times New Roman"/>
          <w:sz w:val="24"/>
        </w:rPr>
        <w:t>Sikirevci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(„Slu</w:t>
      </w:r>
      <w:r>
        <w:rPr>
          <w:rFonts w:ascii="Times New Roman" w:eastAsia="Times New Roman" w:hAnsi="Times New Roman" w:cs="Times New Roman"/>
          <w:sz w:val="24"/>
        </w:rPr>
        <w:t xml:space="preserve">žbeni vjesnik Brodsko-posavske županije“, br. 1/18), Općinsko vijeće Općine </w:t>
      </w:r>
      <w:proofErr w:type="spellStart"/>
      <w:r>
        <w:rPr>
          <w:rFonts w:ascii="Times New Roman" w:eastAsia="Times New Roman" w:hAnsi="Times New Roman" w:cs="Times New Roman"/>
          <w:sz w:val="24"/>
        </w:rPr>
        <w:t>Sikirevci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svojoj 20. sjednici održanoj 4. prosinca 2019. godine, donosi</w:t>
      </w:r>
    </w:p>
    <w:p w:rsidR="008802BF" w:rsidRDefault="008802BF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88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PROGRAM ODRŽAVANJA KOMUNALNE INFRASTRUKTURE </w:t>
      </w:r>
    </w:p>
    <w:p w:rsidR="008802BF" w:rsidRDefault="005C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 PODRUČJU OPĆINE SIKIREVCI ZA 2020. GODINU</w:t>
      </w:r>
    </w:p>
    <w:p w:rsidR="008802BF" w:rsidRDefault="0088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Članak 1.</w:t>
      </w:r>
    </w:p>
    <w:p w:rsidR="008802BF" w:rsidRDefault="005C6892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</w:t>
      </w:r>
      <w:r>
        <w:rPr>
          <w:rFonts w:ascii="Times New Roman" w:eastAsia="Times New Roman" w:hAnsi="Times New Roman" w:cs="Times New Roman"/>
          <w:sz w:val="24"/>
        </w:rPr>
        <w:t xml:space="preserve">im Programom utvrđuju se opisi i opsezi poslova potrebnih za održavanje komunalne infrastrukture na </w:t>
      </w:r>
      <w:proofErr w:type="spellStart"/>
      <w:r>
        <w:rPr>
          <w:rFonts w:ascii="Times New Roman" w:eastAsia="Times New Roman" w:hAnsi="Times New Roman" w:cs="Times New Roman"/>
          <w:sz w:val="24"/>
        </w:rPr>
        <w:t>podrućju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Općine </w:t>
      </w:r>
      <w:proofErr w:type="spellStart"/>
      <w:r>
        <w:rPr>
          <w:rFonts w:ascii="Times New Roman" w:eastAsia="Times New Roman" w:hAnsi="Times New Roman" w:cs="Times New Roman"/>
          <w:sz w:val="24"/>
        </w:rPr>
        <w:t>Sikirevci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2020. godine i to za djelatnosti:</w:t>
      </w:r>
    </w:p>
    <w:p w:rsidR="008802BF" w:rsidRDefault="005C689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održavanje nerazvrstanih cesta</w:t>
      </w:r>
    </w:p>
    <w:p w:rsidR="008802BF" w:rsidRDefault="005C689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održavanje javnih površina na kojima nije dopušten promet motor</w:t>
      </w:r>
      <w:r>
        <w:rPr>
          <w:rFonts w:ascii="Times New Roman" w:eastAsia="Times New Roman" w:hAnsi="Times New Roman" w:cs="Times New Roman"/>
          <w:sz w:val="24"/>
        </w:rPr>
        <w:t>nim vozilima</w:t>
      </w:r>
    </w:p>
    <w:p w:rsidR="008802BF" w:rsidRDefault="005C689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održavanje građevina javne odvodnje oborinskih voda</w:t>
      </w:r>
    </w:p>
    <w:p w:rsidR="008802BF" w:rsidRDefault="005C689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održavanje javnih zelenih površina</w:t>
      </w:r>
    </w:p>
    <w:p w:rsidR="008802BF" w:rsidRDefault="005C689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održavanje građevina, uređaja i predmeta javne namjene</w:t>
      </w:r>
    </w:p>
    <w:p w:rsidR="008802BF" w:rsidRDefault="005C689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održavanje groblja</w:t>
      </w:r>
    </w:p>
    <w:p w:rsidR="008802BF" w:rsidRDefault="005C689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održavanje čistoće javnih površina</w:t>
      </w:r>
    </w:p>
    <w:p w:rsidR="008802BF" w:rsidRDefault="005C689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održavanje javne rasvjete</w:t>
      </w:r>
    </w:p>
    <w:p w:rsidR="008802BF" w:rsidRDefault="005C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kao i iskaz financijs</w:t>
      </w:r>
      <w:r>
        <w:rPr>
          <w:rFonts w:ascii="Times New Roman" w:eastAsia="Times New Roman" w:hAnsi="Times New Roman" w:cs="Times New Roman"/>
          <w:sz w:val="24"/>
        </w:rPr>
        <w:t>kih sredstava potrebnih za ostvarenje programa, s naznakom izvora financiranja.</w:t>
      </w:r>
    </w:p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02BF" w:rsidRDefault="005C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Članak 2.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Održavanje komunalne infrastrukture u 2020. godini obuhvaća:</w:t>
      </w:r>
    </w:p>
    <w:p w:rsidR="008802BF" w:rsidRDefault="0088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Održavanje nerazvrstanih cesta</w:t>
      </w:r>
    </w:p>
    <w:p w:rsidR="008802BF" w:rsidRDefault="008802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6867"/>
        <w:gridCol w:w="1530"/>
      </w:tblGrid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planiranih radova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Iznos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Geodetsko-katastarske usluge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Usluge tekućeg i investicijskog održavanja cesta-nasipanje tucanikom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Zimska služba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8802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SVEUKUPNO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260.000,00 kn</w:t>
            </w:r>
          </w:p>
        </w:tc>
      </w:tr>
    </w:tbl>
    <w:p w:rsidR="008802BF" w:rsidRDefault="00880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 održavanjem nerazvrstanih cesta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podrazumijeva se skup mjera i radnji koje se obavljaju tijekom cijele godine na nerazvrstanim cestama, uključujući i svu opremu, uređaje i instalacije, sa svrhom održavanja prohodnosti i tehničke ispravnosti cesta i prometne sigurnosti na njima (redovito o</w:t>
      </w:r>
      <w:r>
        <w:rPr>
          <w:rFonts w:ascii="Times New Roman" w:eastAsia="Times New Roman" w:hAnsi="Times New Roman" w:cs="Times New Roman"/>
          <w:sz w:val="24"/>
        </w:rPr>
        <w:t>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Zimska služba obuh</w:t>
      </w:r>
      <w:r>
        <w:rPr>
          <w:rFonts w:ascii="Times New Roman" w:eastAsia="Times New Roman" w:hAnsi="Times New Roman" w:cs="Times New Roman"/>
          <w:sz w:val="24"/>
        </w:rPr>
        <w:t>vaća osiguravanje sigurnosti prometa, prohodnosti javnih površina i provoznosti ceste u zimskom razdoblju.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Usluge zimske službe obuhvaćaju svakodnevno dežurstvo u zimskom periodu, te po potrebi intervencije čišćenjem i posipavanjem javnih površina i nerazv</w:t>
      </w:r>
      <w:r>
        <w:rPr>
          <w:rFonts w:ascii="Times New Roman" w:eastAsia="Times New Roman" w:hAnsi="Times New Roman" w:cs="Times New Roman"/>
          <w:sz w:val="24"/>
        </w:rPr>
        <w:t>rstanih cesta.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Planirane radove na održavanju nerazvrstanih cesta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obavljati će dijelom  novoosnovano komunalno poduzeće  „</w:t>
      </w:r>
      <w:proofErr w:type="spellStart"/>
      <w:r>
        <w:rPr>
          <w:rFonts w:ascii="Times New Roman" w:eastAsia="Times New Roman" w:hAnsi="Times New Roman" w:cs="Times New Roman"/>
          <w:sz w:val="24"/>
        </w:rPr>
        <w:t>Sikirevčanka</w:t>
      </w:r>
      <w:proofErr w:type="spellEnd"/>
      <w:r>
        <w:rPr>
          <w:rFonts w:ascii="Times New Roman" w:eastAsia="Times New Roman" w:hAnsi="Times New Roman" w:cs="Times New Roman"/>
          <w:sz w:val="24"/>
        </w:rPr>
        <w:t>“ d.o.o. i/ili druga pravna ili fizička osoba na temelju pisanog ugovora.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Sredstva za izvršenje planiraju se u iznosu od 2</w:t>
      </w:r>
      <w:r>
        <w:rPr>
          <w:rFonts w:ascii="Times New Roman" w:eastAsia="Times New Roman" w:hAnsi="Times New Roman" w:cs="Times New Roman"/>
          <w:sz w:val="24"/>
        </w:rPr>
        <w:t>60.000,00 kn, a financirat će se iz prihoda za posebne namjene i prihoda od poreza.</w:t>
      </w:r>
    </w:p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Održavanje javnih površina na kojima nije dopušten promet motornim vozilima</w:t>
      </w:r>
    </w:p>
    <w:p w:rsidR="008802BF" w:rsidRDefault="00880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6843"/>
        <w:gridCol w:w="1540"/>
      </w:tblGrid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planiranih radova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Iznos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Održavanje javnih površina 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Dezinfekcija, dezinsekcija i deratizacija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75.000,00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Usluge odvoza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klaoničkog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otpada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Rashodi vezano za zbrinjavanje životinja(pasa lutalica)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8802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97.000,00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Odr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žavanje javnih dječjih igrališta i parkova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Materijal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djelovi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za tekuće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investicisko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održavanje parkova, dječjih igrališta i sl.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8802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8802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SVEUKUPNO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117.000,00 kn</w:t>
            </w:r>
          </w:p>
        </w:tc>
      </w:tr>
    </w:tbl>
    <w:p w:rsidR="008802BF" w:rsidRDefault="008802BF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 odr</w:t>
      </w:r>
      <w:r>
        <w:rPr>
          <w:rFonts w:ascii="Times New Roman" w:eastAsia="Times New Roman" w:hAnsi="Times New Roman" w:cs="Times New Roman"/>
          <w:sz w:val="24"/>
        </w:rPr>
        <w:t>žavanjem javnih površina na kojima nije dopušten promet motornih vozila podrazumijeva se održavanje i popravci tih površina kojima se osigurava njihova funkcionalna ispravnost. Javne prometne površine na kojima nije dopušten promet motornim vozilima su trg</w:t>
      </w:r>
      <w:r>
        <w:rPr>
          <w:rFonts w:ascii="Times New Roman" w:eastAsia="Times New Roman" w:hAnsi="Times New Roman" w:cs="Times New Roman"/>
          <w:sz w:val="24"/>
        </w:rPr>
        <w:t>ovi, pločnici, javni prolazi, javne stube, prečaci, šetališta i pješačke staze, ako nisu sastavni dio nerazvrstane ili druge ceste.</w:t>
      </w:r>
    </w:p>
    <w:p w:rsidR="008802BF" w:rsidRDefault="005C6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Dezinfekcija je skup različitih mjera koji se provode s ciljem uništavanja, usporavanja rasta i razmnožavanja ili uklanjanja</w:t>
      </w:r>
      <w:r>
        <w:rPr>
          <w:rFonts w:ascii="Times New Roman" w:eastAsia="Times New Roman" w:hAnsi="Times New Roman" w:cs="Times New Roman"/>
          <w:sz w:val="24"/>
        </w:rPr>
        <w:t xml:space="preserve"> većine mikroorganizama</w:t>
      </w:r>
    </w:p>
    <w:p w:rsidR="008802BF" w:rsidRDefault="005C6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Dezinsekcijom se smatraju postupci suzbijanja </w:t>
      </w:r>
      <w:proofErr w:type="spellStart"/>
      <w:r>
        <w:rPr>
          <w:rFonts w:ascii="Times New Roman" w:eastAsia="Times New Roman" w:hAnsi="Times New Roman" w:cs="Times New Roman"/>
          <w:sz w:val="24"/>
        </w:rPr>
        <w:t>atropoda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(člankonožaca) koji mogu prenijeti uzročnike zaraznih bolesti, izazvati alergijske reakcije, imati toksično djelovanje ili su nametnici, odnosno </w:t>
      </w:r>
      <w:proofErr w:type="spellStart"/>
      <w:r>
        <w:rPr>
          <w:rFonts w:ascii="Times New Roman" w:eastAsia="Times New Roman" w:hAnsi="Times New Roman" w:cs="Times New Roman"/>
          <w:sz w:val="24"/>
        </w:rPr>
        <w:t>uznemirivači</w:t>
      </w:r>
      <w:proofErr w:type="spellEnd"/>
      <w:r>
        <w:rPr>
          <w:rFonts w:ascii="Times New Roman" w:eastAsia="Times New Roman" w:hAnsi="Times New Roman" w:cs="Times New Roman"/>
          <w:sz w:val="24"/>
        </w:rPr>
        <w:t>, također i postupci</w:t>
      </w:r>
      <w:r>
        <w:rPr>
          <w:rFonts w:ascii="Times New Roman" w:eastAsia="Times New Roman" w:hAnsi="Times New Roman" w:cs="Times New Roman"/>
          <w:sz w:val="24"/>
        </w:rPr>
        <w:t xml:space="preserve"> kojima se uništavaju te kontroliraju populaciju štetnih insekata.</w:t>
      </w:r>
    </w:p>
    <w:p w:rsidR="008802BF" w:rsidRDefault="005C6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Deratizacijom se smatraju postupci uništavanja štakora i miševa te drugih </w:t>
      </w:r>
      <w:proofErr w:type="spellStart"/>
      <w:r>
        <w:rPr>
          <w:rFonts w:ascii="Times New Roman" w:eastAsia="Times New Roman" w:hAnsi="Times New Roman" w:cs="Times New Roman"/>
          <w:sz w:val="24"/>
        </w:rPr>
        <w:t>mišolikih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glodavaca koji prenose uzročnike zaraznih bolesti ili su rezervoari njihovih uzročnika.</w:t>
      </w:r>
    </w:p>
    <w:p w:rsidR="008802BF" w:rsidRDefault="005C6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Rashodi vezano za</w:t>
      </w:r>
      <w:r>
        <w:rPr>
          <w:rFonts w:ascii="Times New Roman" w:eastAsia="Times New Roman" w:hAnsi="Times New Roman" w:cs="Times New Roman"/>
          <w:sz w:val="24"/>
        </w:rPr>
        <w:t xml:space="preserve"> zbrinjavanje životinja podrazumijeva se  skupljanje i hvatanje pasa i mačaka lutalica te njihovo zbrinjavanje , uklanjanje uginulih životinja s javnih površina i druge djelatnosti prema važećim propisima.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 materijalom za tekuće i investicijsko održavan</w:t>
      </w:r>
      <w:r>
        <w:rPr>
          <w:rFonts w:ascii="Times New Roman" w:eastAsia="Times New Roman" w:hAnsi="Times New Roman" w:cs="Times New Roman"/>
          <w:sz w:val="24"/>
        </w:rPr>
        <w:t xml:space="preserve">je  opreme podrazumijeva se popravak i bojanje dječjih sprava za igru, popravak i bojanje klupa i koševa i održavanje ostale urbane  na području Općine. </w:t>
      </w:r>
    </w:p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Sredstva za izvršenje planiraju se u iznosu od </w:t>
      </w:r>
      <w:r>
        <w:rPr>
          <w:rFonts w:ascii="Times New Roman" w:eastAsia="Times New Roman" w:hAnsi="Times New Roman" w:cs="Times New Roman"/>
          <w:b/>
          <w:sz w:val="24"/>
        </w:rPr>
        <w:t xml:space="preserve">117.000,00 </w:t>
      </w:r>
      <w:r>
        <w:rPr>
          <w:rFonts w:ascii="Times New Roman" w:eastAsia="Times New Roman" w:hAnsi="Times New Roman" w:cs="Times New Roman"/>
          <w:sz w:val="24"/>
        </w:rPr>
        <w:t>kn, a financirat će se iz sredstava , konce</w:t>
      </w:r>
      <w:r>
        <w:rPr>
          <w:rFonts w:ascii="Times New Roman" w:eastAsia="Times New Roman" w:hAnsi="Times New Roman" w:cs="Times New Roman"/>
          <w:sz w:val="24"/>
        </w:rPr>
        <w:t>sija i koncesijskih odobrenja 16.000,00kn, višak sredstava 101.000,00 kn.</w:t>
      </w:r>
    </w:p>
    <w:p w:rsidR="008802BF" w:rsidRDefault="0088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88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88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Održavanje građevina javne odvodnje oborinskih voda</w:t>
      </w:r>
    </w:p>
    <w:p w:rsidR="008802BF" w:rsidRDefault="008802BF">
      <w:pPr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5741"/>
        <w:gridCol w:w="1851"/>
      </w:tblGrid>
      <w:tr w:rsidR="008802BF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planiranih radova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Iznos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Usluge teku</w:t>
            </w:r>
            <w:r>
              <w:rPr>
                <w:rFonts w:ascii="Times New Roman" w:eastAsia="Times New Roman" w:hAnsi="Times New Roman" w:cs="Times New Roman"/>
                <w:sz w:val="20"/>
              </w:rPr>
              <w:t>ćeg i investicijskog održavanja građevina javne odvodnje oborinskih voda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8802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SVEUKUPNO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2.000,00 kn</w:t>
            </w:r>
          </w:p>
        </w:tc>
      </w:tr>
    </w:tbl>
    <w:p w:rsidR="008802BF" w:rsidRDefault="008802BF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 odr</w:t>
      </w:r>
      <w:r>
        <w:rPr>
          <w:rFonts w:ascii="Times New Roman" w:eastAsia="Times New Roman" w:hAnsi="Times New Roman" w:cs="Times New Roman"/>
          <w:sz w:val="24"/>
        </w:rPr>
        <w:t>žavanjem građevina javne odvodnje oborinskih voda podrazumijeva se upravljanje i održavanje građevina koje služe prihvatu, odvodnji i ispuštanju oborinskih voda iz građevina i površina javne namjene u građevinskom području, uključujući i građevine koje slu</w:t>
      </w:r>
      <w:r>
        <w:rPr>
          <w:rFonts w:ascii="Times New Roman" w:eastAsia="Times New Roman" w:hAnsi="Times New Roman" w:cs="Times New Roman"/>
          <w:sz w:val="24"/>
        </w:rPr>
        <w:t xml:space="preserve">že zajedničkom prihvatu, odvodnji i ispuštanju oborinskih i drugih otpadnih voda, osim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građevina u vlasništvu javnih isporučitelja vodnih usluga koje, prema posebnim propisima o vodama, služe zajedničkom prihvatu, odvodnji i ispuštanju oborinskih i drugih </w:t>
      </w:r>
      <w:r>
        <w:rPr>
          <w:rFonts w:ascii="Times New Roman" w:eastAsia="Times New Roman" w:hAnsi="Times New Roman" w:cs="Times New Roman"/>
          <w:sz w:val="24"/>
        </w:rPr>
        <w:t>otpadnih voda.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 građevinom javne odvodnje podrazumijevaju se slivnici, kanalske rešetke, </w:t>
      </w:r>
      <w:proofErr w:type="spellStart"/>
      <w:r>
        <w:rPr>
          <w:rFonts w:ascii="Times New Roman" w:eastAsia="Times New Roman" w:hAnsi="Times New Roman" w:cs="Times New Roman"/>
          <w:sz w:val="24"/>
        </w:rPr>
        <w:t>rigoli</w:t>
      </w:r>
      <w:proofErr w:type="spellEnd"/>
      <w:r>
        <w:rPr>
          <w:rFonts w:ascii="Times New Roman" w:eastAsia="Times New Roman" w:hAnsi="Times New Roman" w:cs="Times New Roman"/>
          <w:sz w:val="24"/>
        </w:rPr>
        <w:t>, otvoreni i zatvoreni kanali i drugo. Zbog osiguranja kvalitetnog funkcioniranja odvodnje atmosferskih voda, potrebno je predmetne objekte održavati u stanju</w:t>
      </w:r>
      <w:r>
        <w:rPr>
          <w:rFonts w:ascii="Times New Roman" w:eastAsia="Times New Roman" w:hAnsi="Times New Roman" w:cs="Times New Roman"/>
          <w:sz w:val="24"/>
        </w:rPr>
        <w:t xml:space="preserve"> funkcionalne sposobnosti. 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Sredstva za izvršenje planiraju se u iznosu od </w:t>
      </w:r>
      <w:r>
        <w:rPr>
          <w:rFonts w:ascii="Times New Roman" w:eastAsia="Times New Roman" w:hAnsi="Times New Roman" w:cs="Times New Roman"/>
          <w:b/>
          <w:sz w:val="24"/>
        </w:rPr>
        <w:t xml:space="preserve">2.000,00 </w:t>
      </w:r>
      <w:r>
        <w:rPr>
          <w:rFonts w:ascii="Times New Roman" w:eastAsia="Times New Roman" w:hAnsi="Times New Roman" w:cs="Times New Roman"/>
          <w:sz w:val="24"/>
        </w:rPr>
        <w:t>kn, a financirat će se iz prihoda od poreza.</w:t>
      </w:r>
    </w:p>
    <w:p w:rsidR="008802BF" w:rsidRDefault="008802BF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Održavanje javnih zelenih površina</w:t>
      </w:r>
    </w:p>
    <w:p w:rsidR="008802BF" w:rsidRDefault="008802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6446"/>
        <w:gridCol w:w="1461"/>
      </w:tblGrid>
      <w:tr w:rsidR="008802BF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planiranih radova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Iznos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Usluge ko</w:t>
            </w:r>
            <w:r>
              <w:rPr>
                <w:rFonts w:ascii="Times New Roman" w:eastAsia="Times New Roman" w:hAnsi="Times New Roman" w:cs="Times New Roman"/>
                <w:sz w:val="20"/>
              </w:rPr>
              <w:t>šnja zelenih javnih površina( komunalni radnici -ugovor o djelu)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Utrošak goriva za strojeve, uređaje(trimere) i traktor za vrijeme košnje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Materijal za tekuće i investicijsko održavanje strojeva i uređaja za održavanje jav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nih površina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Službena i radna odjeća komunalnim djelatnicima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Usluge teku</w:t>
            </w:r>
            <w:r>
              <w:rPr>
                <w:rFonts w:ascii="Times New Roman" w:eastAsia="Times New Roman" w:hAnsi="Times New Roman" w:cs="Times New Roman"/>
                <w:sz w:val="20"/>
              </w:rPr>
              <w:t>ćeg i investicijsko održavanje strojeva i uređaja i traktora za održavanje javnih zelenih površina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Hortikulturno ure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đenje za oba naselja( nabava sadnica, cvijeća,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žardinjera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hortikulturalne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usluge)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20.900,00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SVEUKUPNO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250.900,00 kn</w:t>
            </w:r>
          </w:p>
        </w:tc>
      </w:tr>
    </w:tbl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 odr</w:t>
      </w:r>
      <w:r>
        <w:rPr>
          <w:rFonts w:ascii="Times New Roman" w:eastAsia="Times New Roman" w:hAnsi="Times New Roman" w:cs="Times New Roman"/>
          <w:sz w:val="24"/>
        </w:rPr>
        <w:t>žavanjem javnih zelenih površina podrazumijeva se košnja, obrezivanje i sakupljanje biološkog otpada s javnih zelenih površina, obnova, održavanje i njega drveća, ukrasnog grmlja i drugog bilja, popločenih i nasipanih površina u parkovima, opreme na dječji</w:t>
      </w:r>
      <w:r>
        <w:rPr>
          <w:rFonts w:ascii="Times New Roman" w:eastAsia="Times New Roman" w:hAnsi="Times New Roman" w:cs="Times New Roman"/>
          <w:sz w:val="24"/>
        </w:rPr>
        <w:t xml:space="preserve">m igralištima, </w:t>
      </w:r>
      <w:proofErr w:type="spellStart"/>
      <w:r>
        <w:rPr>
          <w:rFonts w:ascii="Times New Roman" w:eastAsia="Times New Roman" w:hAnsi="Times New Roman" w:cs="Times New Roman"/>
          <w:sz w:val="24"/>
        </w:rPr>
        <w:t>fitosanitarna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zaštita bilja i biljnog materijala za potrebe održavanja i drugi poslovi potrebni za održavanje tih površina. Javne zelene površine su parkovi, drvoredi, živice, cvjetnjaci, travnjaci, skupine ili pojedinačna stabla, dječja igr</w:t>
      </w:r>
      <w:r>
        <w:rPr>
          <w:rFonts w:ascii="Times New Roman" w:eastAsia="Times New Roman" w:hAnsi="Times New Roman" w:cs="Times New Roman"/>
          <w:sz w:val="24"/>
        </w:rPr>
        <w:t>ališta s pripadajućom opremom, javni športski i rekreacijski prostori, zelene površine uz ceste i ulice, ako nisu sastavni dio nerazvrstane ili druge ceste odnosno ulice i sl.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Košnja zelenih površina obuhvaća košnju površina u vlasništvu Općine </w:t>
      </w:r>
      <w:proofErr w:type="spellStart"/>
      <w:r>
        <w:rPr>
          <w:rFonts w:ascii="Times New Roman" w:eastAsia="Times New Roman" w:hAnsi="Times New Roman" w:cs="Times New Roman"/>
          <w:sz w:val="24"/>
        </w:rPr>
        <w:t>Sikirevci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</w:t>
      </w:r>
      <w:r>
        <w:rPr>
          <w:rFonts w:ascii="Times New Roman" w:eastAsia="Times New Roman" w:hAnsi="Times New Roman" w:cs="Times New Roman"/>
          <w:sz w:val="24"/>
        </w:rPr>
        <w:t xml:space="preserve"> javno dobro. Ukupna površina čestica obuhvaćene košnjom iznosi 300.000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>. Košnja se obavljala po planu i potrebi u cjelogodišnjem razdoblju.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Održavanje cvjetnih lokacija a obuhvaća cjelogodišnje (ljetno i zimsko) sađenje bilja, gnojidba, redovno okopavan</w:t>
      </w:r>
      <w:r>
        <w:rPr>
          <w:rFonts w:ascii="Times New Roman" w:eastAsia="Times New Roman" w:hAnsi="Times New Roman" w:cs="Times New Roman"/>
          <w:sz w:val="24"/>
        </w:rPr>
        <w:t>je i zalijevanje. Ljetno održavanje se planira u razdoblju od sedam mjeseci odnosno od travnja – listopada, a zimsko održavanje se planira pet mjeseci odnosno od studenog do ožujka. Planirano je redovno održavanje  cca 10 lokacija. Ukupna površina iznosi 6</w:t>
      </w:r>
      <w:r>
        <w:rPr>
          <w:rFonts w:ascii="Times New Roman" w:eastAsia="Times New Roman" w:hAnsi="Times New Roman" w:cs="Times New Roman"/>
          <w:sz w:val="24"/>
        </w:rPr>
        <w:t>0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Održavanje trajnica obuhvaća cjelogodišnje okopavanje, rezidbu, gnojidbu i zalijevanje. Ukupna površina trajnica iznosi 20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Rezanje stablašica podrazumijeva rezidbu stablašica odnosno oblikovanja ili potpuno uklanjanje oštećenih ili nestabilnih st</w:t>
      </w:r>
      <w:r>
        <w:rPr>
          <w:rFonts w:ascii="Times New Roman" w:eastAsia="Times New Roman" w:hAnsi="Times New Roman" w:cs="Times New Roman"/>
          <w:sz w:val="24"/>
        </w:rPr>
        <w:t xml:space="preserve">ablašica uslijed vremenske nepogode, starosti ili bolesti. 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Uređenjem novih zelenih površina planira se urediti nove lokacije:  područje ispred društvenog doma u Jarugama, ispred objekta Ambulanta Jaruge i </w:t>
      </w:r>
      <w:proofErr w:type="spellStart"/>
      <w:r>
        <w:rPr>
          <w:rFonts w:ascii="Times New Roman" w:eastAsia="Times New Roman" w:hAnsi="Times New Roman" w:cs="Times New Roman"/>
          <w:sz w:val="24"/>
        </w:rPr>
        <w:t>Sikirevci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 prijelazni mostovi-</w:t>
      </w:r>
      <w:proofErr w:type="spellStart"/>
      <w:r>
        <w:rPr>
          <w:rFonts w:ascii="Times New Roman" w:eastAsia="Times New Roman" w:hAnsi="Times New Roman" w:cs="Times New Roman"/>
          <w:sz w:val="24"/>
        </w:rPr>
        <w:t>posatvaljanje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cvije</w:t>
      </w:r>
      <w:r>
        <w:rPr>
          <w:rFonts w:ascii="Times New Roman" w:eastAsia="Times New Roman" w:hAnsi="Times New Roman" w:cs="Times New Roman"/>
          <w:sz w:val="24"/>
        </w:rPr>
        <w:t>ća posađene u posude za cvijeće, te na lokaciji Park-Jelas.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Održavajte travnjaka obuhvaća prozračivanje travnjaka, </w:t>
      </w:r>
      <w:proofErr w:type="spellStart"/>
      <w:r>
        <w:rPr>
          <w:rFonts w:ascii="Times New Roman" w:eastAsia="Times New Roman" w:hAnsi="Times New Roman" w:cs="Times New Roman"/>
          <w:sz w:val="24"/>
        </w:rPr>
        <w:t>prihranu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mineralnim gnojivom te eventualnu </w:t>
      </w:r>
      <w:proofErr w:type="spellStart"/>
      <w:r>
        <w:rPr>
          <w:rFonts w:ascii="Times New Roman" w:eastAsia="Times New Roman" w:hAnsi="Times New Roman" w:cs="Times New Roman"/>
          <w:sz w:val="24"/>
        </w:rPr>
        <w:t>nadosjetvu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oštećenih dijelova travnjaka, </w:t>
      </w:r>
      <w:proofErr w:type="spellStart"/>
      <w:r>
        <w:rPr>
          <w:rFonts w:ascii="Times New Roman" w:eastAsia="Times New Roman" w:hAnsi="Times New Roman" w:cs="Times New Roman"/>
          <w:sz w:val="24"/>
        </w:rPr>
        <w:t>humusiranje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valjanje površine.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Planirane radove na održavanju nerazvrstanih cesta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obavljati će dijelom  novoosnovano komunalno poduzeće  „</w:t>
      </w:r>
      <w:proofErr w:type="spellStart"/>
      <w:r>
        <w:rPr>
          <w:rFonts w:ascii="Times New Roman" w:eastAsia="Times New Roman" w:hAnsi="Times New Roman" w:cs="Times New Roman"/>
          <w:sz w:val="24"/>
        </w:rPr>
        <w:t>Sikirevčanka</w:t>
      </w:r>
      <w:proofErr w:type="spellEnd"/>
      <w:r>
        <w:rPr>
          <w:rFonts w:ascii="Times New Roman" w:eastAsia="Times New Roman" w:hAnsi="Times New Roman" w:cs="Times New Roman"/>
          <w:sz w:val="24"/>
        </w:rPr>
        <w:t>“ d.o.o. i/ili druga pravna ili fizička osoba na temelju pisanog ugovora.</w:t>
      </w:r>
    </w:p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Sredstva za izvršenje planiraju se u iznosu od </w:t>
      </w:r>
      <w:r>
        <w:rPr>
          <w:rFonts w:ascii="Times New Roman" w:eastAsia="Times New Roman" w:hAnsi="Times New Roman" w:cs="Times New Roman"/>
          <w:b/>
          <w:sz w:val="24"/>
        </w:rPr>
        <w:t xml:space="preserve">250.900,00 </w:t>
      </w:r>
      <w:r>
        <w:rPr>
          <w:rFonts w:ascii="Times New Roman" w:eastAsia="Times New Roman" w:hAnsi="Times New Roman" w:cs="Times New Roman"/>
          <w:sz w:val="24"/>
        </w:rPr>
        <w:t>kn, a financirat će se iz prihoda od poreza, prihodi od komunalne naknade 75.000,00 kn i višak prihodovnih sredstava 175.900,00kn .</w:t>
      </w:r>
    </w:p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Održavanje građevina, uređaja i predmeta javne namjene</w:t>
      </w:r>
    </w:p>
    <w:p w:rsidR="008802BF" w:rsidRDefault="008802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3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"/>
        <w:gridCol w:w="345"/>
        <w:gridCol w:w="36"/>
        <w:gridCol w:w="25"/>
        <w:gridCol w:w="11"/>
        <w:gridCol w:w="1482"/>
        <w:gridCol w:w="2553"/>
        <w:gridCol w:w="93"/>
        <w:gridCol w:w="539"/>
        <w:gridCol w:w="1791"/>
        <w:gridCol w:w="372"/>
        <w:gridCol w:w="689"/>
        <w:gridCol w:w="493"/>
        <w:gridCol w:w="13"/>
        <w:gridCol w:w="51"/>
      </w:tblGrid>
      <w:tr w:rsidR="008802BF">
        <w:tblPrEx>
          <w:tblCellMar>
            <w:top w:w="0" w:type="dxa"/>
            <w:bottom w:w="0" w:type="dxa"/>
          </w:tblCellMar>
        </w:tblPrEx>
        <w:trPr>
          <w:gridAfter w:val="5"/>
          <w:wAfter w:w="4966" w:type="dxa"/>
        </w:trPr>
        <w:tc>
          <w:tcPr>
            <w:tcW w:w="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planiranih radova</w:t>
            </w:r>
          </w:p>
        </w:tc>
        <w:tc>
          <w:tcPr>
            <w:tcW w:w="1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Iznos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gridAfter w:val="4"/>
          <w:wAfter w:w="3967" w:type="dxa"/>
        </w:trPr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7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Održavanje građevina, uređaja i predmeta javne namjene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gridAfter w:val="3"/>
          <w:wAfter w:w="1931" w:type="dxa"/>
        </w:trPr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1.1.</w:t>
            </w:r>
          </w:p>
        </w:tc>
        <w:tc>
          <w:tcPr>
            <w:tcW w:w="12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Utro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šena voda za objekte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vl.općine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6.000,00 kn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gridAfter w:val="3"/>
          <w:wAfter w:w="1931" w:type="dxa"/>
        </w:trPr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1.2.</w:t>
            </w:r>
          </w:p>
        </w:tc>
        <w:tc>
          <w:tcPr>
            <w:tcW w:w="12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ind w:right="-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Naknada za slivnu vodnu naknadu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20.000,00 kn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gridAfter w:val="3"/>
          <w:wAfter w:w="1931" w:type="dxa"/>
        </w:trPr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8802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UKUPNO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                  26.000,00 kn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gridAfter w:val="1"/>
          <w:wAfter w:w="165" w:type="dxa"/>
        </w:trPr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21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Održavanje objekata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gridAfter w:val="2"/>
          <w:wAfter w:w="195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2.1.</w:t>
            </w:r>
          </w:p>
        </w:tc>
        <w:tc>
          <w:tcPr>
            <w:tcW w:w="10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Materijal za  teku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ćeg i investicijskog održavanja objekata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vl.općine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200.000,00 kn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gridAfter w:val="2"/>
          <w:wAfter w:w="195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2.2.</w:t>
            </w:r>
          </w:p>
        </w:tc>
        <w:tc>
          <w:tcPr>
            <w:tcW w:w="10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Usluge teku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ćeg i investicijskog održavanja objekata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vl.općine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30.000,00 kn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gridAfter w:val="2"/>
          <w:wAfter w:w="195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2.3.</w:t>
            </w:r>
          </w:p>
        </w:tc>
        <w:tc>
          <w:tcPr>
            <w:tcW w:w="10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Saniranje starih i napuštenih objekata                                                                        10.000,00 kn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8802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UKUP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NO                                                                                                                           240.000,00 kn</w:t>
            </w:r>
          </w:p>
        </w:tc>
        <w:tc>
          <w:tcPr>
            <w:tcW w:w="11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11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SVEUKUPNO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                      266.000,00 kn</w:t>
            </w:r>
          </w:p>
        </w:tc>
        <w:tc>
          <w:tcPr>
            <w:tcW w:w="11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266.000,00 kn   </w:t>
            </w:r>
          </w:p>
        </w:tc>
      </w:tr>
    </w:tbl>
    <w:p w:rsidR="008802BF" w:rsidRDefault="008802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ind w:right="-21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 odr</w:t>
      </w:r>
      <w:r>
        <w:rPr>
          <w:rFonts w:ascii="Times New Roman" w:eastAsia="Times New Roman" w:hAnsi="Times New Roman" w:cs="Times New Roman"/>
          <w:sz w:val="24"/>
        </w:rPr>
        <w:t xml:space="preserve">žavanjem građevina i uređaja javne namjene podrazumijeva se rashodi vezani za utrošak vode u objektima u vlasništvu općine -objekti koji su priključeni na </w:t>
      </w:r>
      <w:proofErr w:type="spellStart"/>
      <w:r>
        <w:rPr>
          <w:rFonts w:ascii="Times New Roman" w:eastAsia="Times New Roman" w:hAnsi="Times New Roman" w:cs="Times New Roman"/>
          <w:sz w:val="24"/>
        </w:rPr>
        <w:t>vodvodnu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mreži i objekti na kojima je postavljen vodovodni priključak), naknada po Rješenju za slivnu</w:t>
      </w:r>
      <w:r>
        <w:rPr>
          <w:rFonts w:ascii="Times New Roman" w:eastAsia="Times New Roman" w:hAnsi="Times New Roman" w:cs="Times New Roman"/>
          <w:sz w:val="24"/>
        </w:rPr>
        <w:t xml:space="preserve"> vodnu naknadu za sve objekte u vlasništvu općine.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 održavanjem objekta podrazumijeva se održavanje, popravci i čišćenje tih građevina, uređaja i predmeta. Građevine  su nadstrešnice na stajalištima javnog prometa, , spomenici, ostala urbana oprema, zdr</w:t>
      </w:r>
      <w:r>
        <w:rPr>
          <w:rFonts w:ascii="Times New Roman" w:eastAsia="Times New Roman" w:hAnsi="Times New Roman" w:cs="Times New Roman"/>
          <w:sz w:val="24"/>
        </w:rPr>
        <w:t xml:space="preserve">avstvenog i socijalnog sadržaja, objekti kulturnog sadržaja, javni športski i rekreacijski objekti, te druge građevine u vlasništvu općine </w:t>
      </w:r>
      <w:proofErr w:type="spellStart"/>
      <w:r>
        <w:rPr>
          <w:rFonts w:ascii="Times New Roman" w:eastAsia="Times New Roman" w:hAnsi="Times New Roman" w:cs="Times New Roman"/>
          <w:sz w:val="24"/>
        </w:rPr>
        <w:t>Sikirevci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 uređaji i predmeti javne namjene lokalnog značaja, te saniranje starih i napuštenih kuća.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Gospodarenjem o</w:t>
      </w:r>
      <w:r>
        <w:rPr>
          <w:rFonts w:ascii="Times New Roman" w:eastAsia="Times New Roman" w:hAnsi="Times New Roman" w:cs="Times New Roman"/>
          <w:sz w:val="24"/>
        </w:rPr>
        <w:t xml:space="preserve">tpadom </w:t>
      </w:r>
      <w:proofErr w:type="spellStart"/>
      <w:r>
        <w:rPr>
          <w:rFonts w:ascii="Times New Roman" w:eastAsia="Times New Roman" w:hAnsi="Times New Roman" w:cs="Times New Roman"/>
          <w:sz w:val="24"/>
        </w:rPr>
        <w:t>podrazumjeva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utovar i odvoz komunalnog otpada od strane </w:t>
      </w:r>
      <w:proofErr w:type="spellStart"/>
      <w:r>
        <w:rPr>
          <w:rFonts w:ascii="Times New Roman" w:eastAsia="Times New Roman" w:hAnsi="Times New Roman" w:cs="Times New Roman"/>
          <w:sz w:val="24"/>
        </w:rPr>
        <w:t>konceionara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tvrtka "Jakob </w:t>
      </w:r>
      <w:proofErr w:type="spellStart"/>
      <w:r>
        <w:rPr>
          <w:rFonts w:ascii="Times New Roman" w:eastAsia="Times New Roman" w:hAnsi="Times New Roman" w:cs="Times New Roman"/>
          <w:sz w:val="24"/>
        </w:rPr>
        <w:t>Becker"d.o.o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Sl.Brod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Sredstva za izvršenje planiraju se u iznosu od </w:t>
      </w:r>
      <w:r>
        <w:rPr>
          <w:rFonts w:ascii="Times New Roman" w:eastAsia="Times New Roman" w:hAnsi="Times New Roman" w:cs="Times New Roman"/>
          <w:b/>
          <w:sz w:val="24"/>
        </w:rPr>
        <w:t>266.000,00 kn</w:t>
      </w:r>
      <w:r>
        <w:rPr>
          <w:rFonts w:ascii="Times New Roman" w:eastAsia="Times New Roman" w:hAnsi="Times New Roman" w:cs="Times New Roman"/>
          <w:sz w:val="24"/>
        </w:rPr>
        <w:t>, a financirat će se iz raspoloživih sredstava iz prijašnjih godina- višak priho</w:t>
      </w:r>
      <w:r>
        <w:rPr>
          <w:rFonts w:ascii="Times New Roman" w:eastAsia="Times New Roman" w:hAnsi="Times New Roman" w:cs="Times New Roman"/>
          <w:sz w:val="24"/>
        </w:rPr>
        <w:t>da.</w:t>
      </w:r>
    </w:p>
    <w:p w:rsidR="008802BF" w:rsidRDefault="0088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Održavanje groblja</w:t>
      </w:r>
    </w:p>
    <w:p w:rsidR="008802BF" w:rsidRDefault="008802B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813"/>
        <w:gridCol w:w="1814"/>
      </w:tblGrid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planiranih radova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Iznos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Održavanje groblja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8802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SVEUKUPNO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82.000,00 kn</w:t>
            </w:r>
          </w:p>
        </w:tc>
      </w:tr>
    </w:tbl>
    <w:p w:rsidR="008802BF" w:rsidRDefault="008802BF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Pod odr</w:t>
      </w:r>
      <w:r>
        <w:rPr>
          <w:rFonts w:ascii="Times New Roman" w:eastAsia="Times New Roman" w:hAnsi="Times New Roman" w:cs="Times New Roman"/>
          <w:sz w:val="24"/>
        </w:rPr>
        <w:t>žavanjem groblja podrazumijeva se održavanje prostora i zgrada za obavljanje ispraćaja i ukopa pokojnika te uređivanje putova, košenje zelenih i drugih površina unutar groblja tijekom cijele godine.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Planirane radove na održavanju nerazvrstanih cesta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obavlj</w:t>
      </w:r>
      <w:r>
        <w:rPr>
          <w:rFonts w:ascii="Times New Roman" w:eastAsia="Times New Roman" w:hAnsi="Times New Roman" w:cs="Times New Roman"/>
          <w:sz w:val="24"/>
        </w:rPr>
        <w:t>ati će dijelom  novoosnovano komunalno poduzeće  „</w:t>
      </w:r>
      <w:proofErr w:type="spellStart"/>
      <w:r>
        <w:rPr>
          <w:rFonts w:ascii="Times New Roman" w:eastAsia="Times New Roman" w:hAnsi="Times New Roman" w:cs="Times New Roman"/>
          <w:sz w:val="24"/>
        </w:rPr>
        <w:t>Sikirevčanka</w:t>
      </w:r>
      <w:proofErr w:type="spellEnd"/>
      <w:r>
        <w:rPr>
          <w:rFonts w:ascii="Times New Roman" w:eastAsia="Times New Roman" w:hAnsi="Times New Roman" w:cs="Times New Roman"/>
          <w:sz w:val="24"/>
        </w:rPr>
        <w:t>“ d.o.o. i/ili druga pravna ili fizička osoba na temelju pisanog ugovora.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Sredstva za izvršenje planiraju se u iznosu od </w:t>
      </w:r>
      <w:r>
        <w:rPr>
          <w:rFonts w:ascii="Times New Roman" w:eastAsia="Times New Roman" w:hAnsi="Times New Roman" w:cs="Times New Roman"/>
          <w:b/>
          <w:sz w:val="24"/>
        </w:rPr>
        <w:t>82.000,00 kn</w:t>
      </w:r>
      <w:r>
        <w:rPr>
          <w:rFonts w:ascii="Times New Roman" w:eastAsia="Times New Roman" w:hAnsi="Times New Roman" w:cs="Times New Roman"/>
          <w:sz w:val="24"/>
        </w:rPr>
        <w:t>, a financirat će se iz sredstava prihod od godišnje grobne n</w:t>
      </w:r>
      <w:r>
        <w:rPr>
          <w:rFonts w:ascii="Times New Roman" w:eastAsia="Times New Roman" w:hAnsi="Times New Roman" w:cs="Times New Roman"/>
          <w:sz w:val="24"/>
        </w:rPr>
        <w:t>aknade.</w:t>
      </w:r>
    </w:p>
    <w:p w:rsidR="008802BF" w:rsidRDefault="0088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Održavanje čistoće javnih površina</w:t>
      </w:r>
    </w:p>
    <w:p w:rsidR="008802BF" w:rsidRDefault="008802BF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933"/>
        <w:gridCol w:w="1784"/>
      </w:tblGrid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planiranih radova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Iznos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Odvoz smeća i krupnog otpada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8802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SVEUKUPNO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1.000,00 kn</w:t>
            </w:r>
          </w:p>
        </w:tc>
      </w:tr>
    </w:tbl>
    <w:p w:rsidR="008802BF" w:rsidRDefault="008802BF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 odr</w:t>
      </w:r>
      <w:r>
        <w:rPr>
          <w:rFonts w:ascii="Times New Roman" w:eastAsia="Times New Roman" w:hAnsi="Times New Roman" w:cs="Times New Roman"/>
          <w:sz w:val="24"/>
        </w:rPr>
        <w:t xml:space="preserve">žavanjem čistoće javnih površina podrazumijeva se čišćenje površina javne namjene, osim javnih cesta, koje obuhvaća ručno i strojno čišćenje i pranje javnih površina od otpada, snijega i leda, kao i postavljanje i čišćenje košarica za otpatke i uklanjanje </w:t>
      </w:r>
      <w:r>
        <w:rPr>
          <w:rFonts w:ascii="Times New Roman" w:eastAsia="Times New Roman" w:hAnsi="Times New Roman" w:cs="Times New Roman"/>
          <w:sz w:val="24"/>
        </w:rPr>
        <w:t>otpada koje je nepoznata osoba odbacila na javnu površinu ili zemljište u vlasništvu jedinice lokalne samouprave, te usluge odvoza smeća i krupnog otpada.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Gospodarenjem otpadom </w:t>
      </w:r>
      <w:proofErr w:type="spellStart"/>
      <w:r>
        <w:rPr>
          <w:rFonts w:ascii="Times New Roman" w:eastAsia="Times New Roman" w:hAnsi="Times New Roman" w:cs="Times New Roman"/>
          <w:sz w:val="24"/>
        </w:rPr>
        <w:t>podrazumjeva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utovar i odvoz komunalnog otpada od strane </w:t>
      </w:r>
      <w:proofErr w:type="spellStart"/>
      <w:r>
        <w:rPr>
          <w:rFonts w:ascii="Times New Roman" w:eastAsia="Times New Roman" w:hAnsi="Times New Roman" w:cs="Times New Roman"/>
          <w:sz w:val="24"/>
        </w:rPr>
        <w:t>konceionara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tvrtka "</w:t>
      </w:r>
      <w:r>
        <w:rPr>
          <w:rFonts w:ascii="Times New Roman" w:eastAsia="Times New Roman" w:hAnsi="Times New Roman" w:cs="Times New Roman"/>
          <w:sz w:val="24"/>
        </w:rPr>
        <w:t xml:space="preserve">Jakob </w:t>
      </w:r>
      <w:proofErr w:type="spellStart"/>
      <w:r>
        <w:rPr>
          <w:rFonts w:ascii="Times New Roman" w:eastAsia="Times New Roman" w:hAnsi="Times New Roman" w:cs="Times New Roman"/>
          <w:sz w:val="24"/>
        </w:rPr>
        <w:t>Becker"d.o.o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Sl.Brod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Sredstva za izvršenje planiraju se u iznosu od </w:t>
      </w:r>
      <w:r>
        <w:rPr>
          <w:rFonts w:ascii="Times New Roman" w:eastAsia="Times New Roman" w:hAnsi="Times New Roman" w:cs="Times New Roman"/>
          <w:b/>
          <w:sz w:val="24"/>
        </w:rPr>
        <w:t xml:space="preserve">1.000,00 kn, </w:t>
      </w:r>
      <w:r>
        <w:rPr>
          <w:rFonts w:ascii="Times New Roman" w:eastAsia="Times New Roman" w:hAnsi="Times New Roman" w:cs="Times New Roman"/>
          <w:sz w:val="24"/>
        </w:rPr>
        <w:t xml:space="preserve">a financirat će se iz koncesijske naknade ostvaren od tvrtke "Jakob </w:t>
      </w:r>
      <w:proofErr w:type="spellStart"/>
      <w:r>
        <w:rPr>
          <w:rFonts w:ascii="Times New Roman" w:eastAsia="Times New Roman" w:hAnsi="Times New Roman" w:cs="Times New Roman"/>
          <w:sz w:val="24"/>
        </w:rPr>
        <w:t>Becker"d.o.o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Sl.Brod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8802BF" w:rsidRDefault="0088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Održavanje javne rasvjete</w:t>
      </w:r>
    </w:p>
    <w:p w:rsidR="008802BF" w:rsidRDefault="008802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3323"/>
        <w:gridCol w:w="18"/>
        <w:gridCol w:w="2994"/>
        <w:gridCol w:w="1160"/>
        <w:gridCol w:w="803"/>
      </w:tblGrid>
      <w:tr w:rsidR="008802BF">
        <w:tblPrEx>
          <w:tblCellMar>
            <w:top w:w="0" w:type="dxa"/>
            <w:bottom w:w="0" w:type="dxa"/>
          </w:tblCellMar>
        </w:tblPrEx>
        <w:trPr>
          <w:gridAfter w:val="2"/>
          <w:wAfter w:w="450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5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planiranih radova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Iznos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gridAfter w:val="1"/>
          <w:wAfter w:w="1856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4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ind w:right="-7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Usluge tekućeg i investicijskog održavanja javne rasvjete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1.1.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Usluge tekućeg i investicijskog održavanja javne rasvjete</w:t>
            </w:r>
          </w:p>
        </w:tc>
        <w:tc>
          <w:tcPr>
            <w:tcW w:w="10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8802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UKUPNO</w:t>
            </w:r>
          </w:p>
        </w:tc>
        <w:tc>
          <w:tcPr>
            <w:tcW w:w="10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gridAfter w:val="1"/>
          <w:wAfter w:w="1856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14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Elektri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čna energija za rasvjetljavanje površina javne namjene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gridAfter w:val="1"/>
          <w:wAfter w:w="1856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2.1.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Energija - javna rasvjeta</w:t>
            </w:r>
          </w:p>
        </w:tc>
        <w:tc>
          <w:tcPr>
            <w:tcW w:w="8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75.000,00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gridAfter w:val="1"/>
          <w:wAfter w:w="1856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8802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UKUPNO</w:t>
            </w:r>
          </w:p>
        </w:tc>
        <w:tc>
          <w:tcPr>
            <w:tcW w:w="8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75.000,00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gridAfter w:val="1"/>
          <w:wAfter w:w="1856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8802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SVEUKUPNO</w:t>
            </w:r>
          </w:p>
        </w:tc>
        <w:tc>
          <w:tcPr>
            <w:tcW w:w="8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125.000,00 kn   </w:t>
            </w:r>
          </w:p>
        </w:tc>
      </w:tr>
    </w:tbl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 odr</w:t>
      </w:r>
      <w:r>
        <w:rPr>
          <w:rFonts w:ascii="Times New Roman" w:eastAsia="Times New Roman" w:hAnsi="Times New Roman" w:cs="Times New Roman"/>
          <w:sz w:val="24"/>
        </w:rPr>
        <w:t>žavanjem javne rasvjete podrazumijeva se upravljanje i održavanje instalacija javne rasvjete, uključujući podmirivanje troškova električne energije, za rasvjetljavanje površina javne namjene. Javna rasvjeta su građevine i uređaji za rasvjetljavanje nerazvr</w:t>
      </w:r>
      <w:r>
        <w:rPr>
          <w:rFonts w:ascii="Times New Roman" w:eastAsia="Times New Roman" w:hAnsi="Times New Roman" w:cs="Times New Roman"/>
          <w:sz w:val="24"/>
        </w:rPr>
        <w:t>stanih cesta, javnih prometnih površina na kojima nije dopušten promet motornim vozilima, javnih cesta koje prolaze kroz naselje, javnih parkirališta, javnih zelenih površina te drugih javnih površina školskog, zdravstvenog i drugog društvenog značaja u vl</w:t>
      </w:r>
      <w:r>
        <w:rPr>
          <w:rFonts w:ascii="Times New Roman" w:eastAsia="Times New Roman" w:hAnsi="Times New Roman" w:cs="Times New Roman"/>
          <w:sz w:val="24"/>
        </w:rPr>
        <w:t>asništvu jedinice lokalne samouprave.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Usluge održavanja javne rasvjete obuhvaćaju redovno održavanje sustava javne rasvjete–preventivni pregledi sustava JR, dobava i ugradnja potrošnog materijala, vođenje evidencije o izvršenim radovima i utrošenom materij</w:t>
      </w:r>
      <w:r>
        <w:rPr>
          <w:rFonts w:ascii="Times New Roman" w:eastAsia="Times New Roman" w:hAnsi="Times New Roman" w:cs="Times New Roman"/>
          <w:sz w:val="24"/>
        </w:rPr>
        <w:t>alu i izvanredno održavanje sustava JR–otklanjanje izvanrednih kvarova na sustavu JR.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Utrošak električne energije te korištenje elektro energetske mreže - </w:t>
      </w:r>
      <w:proofErr w:type="spellStart"/>
      <w:r>
        <w:rPr>
          <w:rFonts w:ascii="Times New Roman" w:eastAsia="Times New Roman" w:hAnsi="Times New Roman" w:cs="Times New Roman"/>
          <w:sz w:val="24"/>
        </w:rPr>
        <w:t>mrežarina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podmiruje se operateru sukladno provedenom postupku nabave.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Planirane radove na održavanju </w:t>
      </w:r>
      <w:r>
        <w:rPr>
          <w:rFonts w:ascii="Times New Roman" w:eastAsia="Times New Roman" w:hAnsi="Times New Roman" w:cs="Times New Roman"/>
          <w:sz w:val="24"/>
        </w:rPr>
        <w:t>javne rasvjete obavljati će pravna ili fizička osoba na temelju pisanog ugovora.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Sredstva za izvršenje planiraju se u iznosu od </w:t>
      </w:r>
      <w:r>
        <w:rPr>
          <w:rFonts w:ascii="Times New Roman" w:eastAsia="Times New Roman" w:hAnsi="Times New Roman" w:cs="Times New Roman"/>
          <w:b/>
          <w:sz w:val="24"/>
        </w:rPr>
        <w:t>125.000,00 kn</w:t>
      </w:r>
      <w:r>
        <w:rPr>
          <w:rFonts w:ascii="Times New Roman" w:eastAsia="Times New Roman" w:hAnsi="Times New Roman" w:cs="Times New Roman"/>
          <w:sz w:val="24"/>
        </w:rPr>
        <w:t>, a financirat će se iz sredstava komunalne naknade.</w:t>
      </w:r>
    </w:p>
    <w:p w:rsidR="008802BF" w:rsidRDefault="005C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Članak 3.</w:t>
      </w: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Iskaz financijskih sredstava potrebnih za ostvarivanje programa, s naznakom izvora financiranja</w:t>
      </w:r>
    </w:p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967"/>
        <w:gridCol w:w="1929"/>
      </w:tblGrid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Iskaz financijskih sredstava - prihoda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Iznos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Komunalna naknada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Koncesije/koncesijska odobrenja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God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šnja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grobna naknada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Prihodi od poreza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2.000,00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802BF" w:rsidRDefault="005C6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Višak prenesenih prihoda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542.900,00 kn</w:t>
            </w:r>
          </w:p>
        </w:tc>
      </w:tr>
      <w:tr w:rsidR="008802B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8802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SVEUKUPNO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02BF" w:rsidRDefault="005C689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843.900,00 kn</w:t>
            </w:r>
          </w:p>
        </w:tc>
      </w:tr>
    </w:tbl>
    <w:p w:rsidR="008802BF" w:rsidRDefault="00880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Sveukupna sredstva za izvr</w:t>
      </w:r>
      <w:r>
        <w:rPr>
          <w:rFonts w:ascii="Times New Roman" w:eastAsia="Times New Roman" w:hAnsi="Times New Roman" w:cs="Times New Roman"/>
          <w:sz w:val="24"/>
        </w:rPr>
        <w:t xml:space="preserve">šenje Programa održavanja komunalne infrastrukture Općine </w:t>
      </w:r>
      <w:proofErr w:type="spellStart"/>
      <w:r>
        <w:rPr>
          <w:rFonts w:ascii="Times New Roman" w:eastAsia="Times New Roman" w:hAnsi="Times New Roman" w:cs="Times New Roman"/>
          <w:sz w:val="24"/>
        </w:rPr>
        <w:t>Sikirevci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2020. godinu planiraju se u iznosu od </w:t>
      </w:r>
      <w:r>
        <w:rPr>
          <w:rFonts w:ascii="Times New Roman" w:eastAsia="Times New Roman" w:hAnsi="Times New Roman" w:cs="Times New Roman"/>
          <w:b/>
          <w:sz w:val="24"/>
        </w:rPr>
        <w:t xml:space="preserve">843.900,00 kn, </w:t>
      </w:r>
      <w:r>
        <w:rPr>
          <w:rFonts w:ascii="Times New Roman" w:eastAsia="Times New Roman" w:hAnsi="Times New Roman" w:cs="Times New Roman"/>
          <w:sz w:val="24"/>
        </w:rPr>
        <w:t>a financirat će se iz sredstava komunalne naknade, koncesija i koncesijskih odobrenja, godišnja grobna naknada,  prihodi od poreza i</w:t>
      </w:r>
      <w:r>
        <w:rPr>
          <w:rFonts w:ascii="Times New Roman" w:eastAsia="Times New Roman" w:hAnsi="Times New Roman" w:cs="Times New Roman"/>
          <w:sz w:val="24"/>
        </w:rPr>
        <w:t xml:space="preserve"> višak prenesenih prihoda.</w:t>
      </w:r>
    </w:p>
    <w:p w:rsidR="008802BF" w:rsidRDefault="008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Članak 4.</w:t>
      </w:r>
    </w:p>
    <w:p w:rsidR="008802BF" w:rsidRDefault="00880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02BF" w:rsidRDefault="005C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Program održavanja komunalne infrastrukture na području Općine </w:t>
      </w:r>
      <w:proofErr w:type="spellStart"/>
      <w:r>
        <w:rPr>
          <w:rFonts w:ascii="Times New Roman" w:eastAsia="Times New Roman" w:hAnsi="Times New Roman" w:cs="Times New Roman"/>
          <w:sz w:val="24"/>
        </w:rPr>
        <w:t>Sikirevci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2020. godinu stupa na snagu dan nakon objave u „Službenom vjesnikom Brodsko-posavske županije“, a primjenjuje se od 01. siječnja 2020. godine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802BF" w:rsidRDefault="005C689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OPĆINSKO VIJEĆE OPĆINE SIKIREVCI</w:t>
      </w:r>
    </w:p>
    <w:p w:rsidR="008802BF" w:rsidRDefault="008802B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02BF" w:rsidRDefault="0088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02BF" w:rsidRDefault="005C6892">
      <w:pPr>
        <w:spacing w:after="0" w:line="240" w:lineRule="auto"/>
        <w:ind w:right="2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KLASA: 400-08/19-01/1</w:t>
      </w:r>
      <w:r>
        <w:rPr>
          <w:rFonts w:ascii="Times New Roman" w:eastAsia="Times New Roman" w:hAnsi="Times New Roman" w:cs="Times New Roman"/>
          <w:b/>
        </w:rPr>
        <w:br/>
        <w:t>URBROJ: 2178/26-02-19-07</w:t>
      </w:r>
      <w:r>
        <w:rPr>
          <w:rFonts w:ascii="Times New Roman" w:eastAsia="Times New Roman" w:hAnsi="Times New Roman" w:cs="Times New Roman"/>
          <w:b/>
        </w:rPr>
        <w:br/>
      </w:r>
      <w:proofErr w:type="spellStart"/>
      <w:r>
        <w:rPr>
          <w:rFonts w:ascii="Times New Roman" w:eastAsia="Times New Roman" w:hAnsi="Times New Roman" w:cs="Times New Roman"/>
          <w:b/>
        </w:rPr>
        <w:t>Sikirevci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, 4.prosinac 2019. </w:t>
      </w:r>
    </w:p>
    <w:p w:rsidR="008802BF" w:rsidRDefault="008802B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02BF" w:rsidRDefault="008802B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8"/>
        <w:gridCol w:w="4536"/>
      </w:tblGrid>
      <w:tr w:rsidR="008802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2BF" w:rsidRDefault="008802BF">
            <w:pPr>
              <w:spacing w:after="0" w:line="240" w:lineRule="auto"/>
              <w:ind w:right="2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2BF" w:rsidRDefault="005C6892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PREDSJEDNIK OPĆINSKOG VIJEĆA</w:t>
            </w:r>
          </w:p>
          <w:p w:rsidR="008802BF" w:rsidRDefault="005C6892">
            <w:pPr>
              <w:spacing w:after="0"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Josip Matić</w:t>
            </w:r>
          </w:p>
        </w:tc>
      </w:tr>
    </w:tbl>
    <w:p w:rsidR="008802BF" w:rsidRDefault="008802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8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070"/>
    <w:multiLevelType w:val="multilevel"/>
    <w:tmpl w:val="8B941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097153"/>
    <w:multiLevelType w:val="multilevel"/>
    <w:tmpl w:val="A82C3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E6AB2"/>
    <w:multiLevelType w:val="multilevel"/>
    <w:tmpl w:val="F0EA0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665E61"/>
    <w:multiLevelType w:val="multilevel"/>
    <w:tmpl w:val="EC505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E850B1"/>
    <w:multiLevelType w:val="multilevel"/>
    <w:tmpl w:val="BDA01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2140D7"/>
    <w:multiLevelType w:val="multilevel"/>
    <w:tmpl w:val="4F782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A11892"/>
    <w:multiLevelType w:val="multilevel"/>
    <w:tmpl w:val="96966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90390D"/>
    <w:multiLevelType w:val="multilevel"/>
    <w:tmpl w:val="C742B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ED22AF"/>
    <w:multiLevelType w:val="multilevel"/>
    <w:tmpl w:val="9858E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F"/>
    <w:rsid w:val="005C6892"/>
    <w:rsid w:val="0088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6B53B-CBD8-43C2-9D2D-1C6BB541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2313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</dc:creator>
  <cp:lastModifiedBy>sandr</cp:lastModifiedBy>
  <cp:revision>2</cp:revision>
  <dcterms:created xsi:type="dcterms:W3CDTF">2019-12-10T21:33:00Z</dcterms:created>
  <dcterms:modified xsi:type="dcterms:W3CDTF">2019-12-10T21:33:00Z</dcterms:modified>
</cp:coreProperties>
</file>