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Temeljem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članka 17. Stavak 1.  Zakona o sustavu civilne zaštite (Narodne novine 82/15, 118/18 ), članka 58. Pravilnika o nositeljima, sadržaju i postupcima izrade planskih dokumenata u civilnoj zaštiti te načinu informiranja javnosti u postupku njihovog donošenja (NN 49/17 i članka 30. Statuta Općine Sikirevci ("Službeni vjesnik Brodsko-posavske županije"br.1/18.), a na prijedlog Općinskog načelnika Općine Sikirevci, Općinsko vijeće Općine Sikirevci na 22. sjednici Općinskog vijeća održanoj dana 02.03.2020.  donosi:</w:t>
      </w:r>
    </w:p>
    <w:p>
      <w:pPr>
        <w:spacing w:before="0" w:after="200" w:line="276"/>
        <w:ind w:right="0" w:left="0" w:firstLine="708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Analizu stanja sustava civilne za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štite za Općinu Sikirevci u 2019.g.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UVOD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Civilna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Sustav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Sustav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redovno djeluje putem preventivnih i planskih aktivnosti, razvoja i jačanja spremnosti sudionika i operativnih snaga sustava civilne zaštite.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ćina Sikirevci dužna je organizirati poslove iz svog samoupravnog djelokruga koji se odnose na planiranje, razvoj, učinkovito funkcioniranje i financiranje sustava civilne zaštite.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ćina Sikirevci 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Mjere i aktivnosti u sustavu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provode sljedeće operativne snage sustava civilne zaštite: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žeri civilne zaštite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operativne snage vatrogastva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operativne snage Hrvatskog Crvenog kri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operativne snage Hrvatske gorske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žbe spašavanja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udruge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postrojbe i povjerenici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koordinatori na lokaciji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h) pravne osobe u sustavu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ćinsko vijeće,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 prijedlog općinskog načelnika izvršava sljedeće zadaće: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 postupku dono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donosi procjenu rizika od velikih nesre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donosi odluku o 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đivanju pravnih osoba od interesa za sustav civilne zaštite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donosi odluku o osnivanju postrojbi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osigurava financijska sredstva za izvr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šavanje odluka o financiranju aktivnosti civilne zaštite u velikoj nesreći i katastrofi prema načelu solidarnosti.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ćinski načelnik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izvršava sljedeće zadaće: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donosi plan djelovanja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donosi plan vje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žbi civilne zaštite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priprema i dostavlja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ćinskom vijeću prijedlog odluke o određivanju pravnih osoba od interesa za sustav civilne zaštite i prijedlog odluke o osnivanju postrojbi civilne zaštite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kod dono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šenja godišnjeg plana nabave u plan uključuje materijalna sredstva i opremu snaga civilne zaštite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donosi odluke iz svog samoupravnog djelokruga radi osiguravanja materijalnih, financijskih i drugih uvjeta za financiranje i opremanje operativnih snaga sustava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odgovorno je za osnivanje, razvoj i financiranje, opremanje, osposobljavanje i uvje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žbavanje operativnih snaga sukladno usvojenim smjernicama i planu razvoja sustava civilne zaštite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izra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đuje i dostavlja predstavničkom tijelu prijedlog procjene rizika od velikih nesreća i redovito ažurira procjenu rizika i plan djelovanja civilne zaštite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osigurava uvjete za premje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štanje, sklanjanje, evakuaciju i zbrinjavanje te izvršavanje zadaća u provedbi drugih mjera civilne zaštite u zaštiti i spašavanju građana, materijalnih i kulturnih dobara i okoliša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osigurava uvjete za raspore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đivanje pripadnika u postrojbe i na dužnost povjerenika civilne zaštite te vođenje evidencije raspoređenih pripadnika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osigurava uvjete za 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đenje i ažuriranje baze podataka o pripadnicima, sposobnostima i resursima operativnih snaga sustava civilne zaštite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uspostavlja 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đenje evidencije stradalih osoba u velikim nesrećama i katastrofama.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ćinski načelnik koordinira djelovanje operativnih snaga sustava civilne zaštite osnovanih za područje Općine Sikirevci u velikim nesrećama i katastrofama uz stručnu potporu nadležnog stožera civilne zaštite.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ćinski načelnik dužan je osposobiti se za obavljanje poslova civilne zaštite u roku od šest mjeseci od stupanja na dužnost, prema programu osposobljavanja koji provodi Državna uprava za zaštitu i spašavanje.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ZAKONSKE ODREDBE</w:t>
      </w:r>
    </w:p>
    <w:tbl>
      <w:tblPr>
        <w:tblInd w:w="108" w:type="dxa"/>
      </w:tblPr>
      <w:tblGrid>
        <w:gridCol w:w="709"/>
        <w:gridCol w:w="7796"/>
        <w:gridCol w:w="990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r.br.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ZAKONI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PRAVILNICI - UREDBE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NN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ZAKON O SUSTAVU CIVILNE ZA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82/15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118/18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standardnim operativnim postupcima za pru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žanje pomoći nižoj hijerarhijskoj razini od strane više razine sustava civilne zaštite u velikoj nesreći i katastrofi 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sastavu 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žera, načinu rada te uvjetima za imenovanje načelnika, zamjenika načelnika i članova stožera civilne zaštite 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Ispravak Pravilnika o sastavu 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žera, načinu rada te uvjetima za imenovanje načelnika, zamjenika načelnika i članova stožera civilne zaštite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37/16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Naputak o 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postupanja u slučaju zlouporabe poziva na broj 112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izgledu, 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i mjestu isticanja obavijesti o jedinstvenom europskom broju za hitne službe 112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38/16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vrstama i 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provođenja vježbi operativnih snaga sustava civilne zaštite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uvjetima koje moraju ispunjavati ovla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štene osobe za obavljanje stručnih poslova u području planiranja civilne zaštite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zemljopisno-obavijesnom sustavu 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žavne uprave za zaštitu i spašavanja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tehni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čkim i drugim uvjetima koje moraju ispunjavati ovlaštene osobe za ispitivanje ispravnosti tehničkih sredstava i opreme civilne zaštite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Uredba o jedinstvenim znakovima za uzbunjivanje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61/16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smjernicama za izradu procjene rizika od katastrofa i velikih nesre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 za područje RH i Jedinica lokalne i područne (regionalne) samouprave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tehni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čkim zahtjevima sustava javnog uzbunjivanja stanovništva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postupku uzbunjivanja stanovni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štva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mobilizaciji, uvjetima i 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rada operativnih snaga sustava civilne zaštite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sadr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žaju, obliku i načinu vođenja očevidnika inspekcijskog nadzora u sustavu civilne zaštite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vrsti i postupku dodjele nagrada i priznanja 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žavne uprave za zaštitu i spašavanje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75/16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đenju evidencija pripadnika operativnih snaga sustava civilne zaštite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75/16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kriterijima zdravstvenih sposobnosti koje moraju ispunjavati pripadnici postrojbi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kriterijima za raspoređivanje i uvjetima za imenovanje povjerenika civilne zaštite i njegovog zamjenika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izmjenama i dopunama Pravilnika o kriterijima zdravstvenih sposobnosti koje moraju ispunjavati pripadnici postrojbi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kriterijima za raspoređivanje i uvjetima za imenovanje povjerenika civilne zaštite i njegovog zamjenika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98/16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67/17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odori pripadnika operativnih snaga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i državnih službenika i namještenika državne uprave za zaštitu i spašavanje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đenju jedinstvene evidencije i informacijskih baza podataka o operativnim snagama, materijalnim sredstvima i opremi operativnih snaga sustava civilne zaštite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Uredba o sastavu i strukturi postrojbi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27/17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Uredba o 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nositeljima, sadr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žaju i postupcima izrade planskih dokumenata u civilnoj zaštiti te načinu informiranja javnosti u postupku njihovog donošenja 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49/17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rada u aktivnostima radijske komunikacije za potrebe djelovanja sustava civilne zaštite u velikim nesrećama i katastrofama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53/17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</w:t>
            </w:r>
          </w:p>
        </w:tc>
        <w:tc>
          <w:tcPr>
            <w:tcW w:w="7796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postupku primanja i preno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šenja obavijesti ranog upozoravanja, neposredne opasnosti te davanju uputa stanovništvu</w:t>
            </w:r>
          </w:p>
        </w:tc>
        <w:tc>
          <w:tcPr>
            <w:tcW w:w="990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67/17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0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STANJE SUSTAVA CIVILNE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tabs>
          <w:tab w:val="left" w:pos="2580" w:leader="none"/>
          <w:tab w:val="left" w:pos="2985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2019.g. poduzeto je slijede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će:</w:t>
      </w:r>
    </w:p>
    <w:p>
      <w:pPr>
        <w:tabs>
          <w:tab w:val="left" w:pos="2580" w:leader="none"/>
          <w:tab w:val="left" w:pos="2985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prijedlog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čelnika na 16.  sjednici općinskog vijeća donesena je Procjena rizika od velikih nesreća za područje općine,</w:t>
      </w: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Donesena je Odluka o sastavu i strukturi postrojbe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štite,</w:t>
      </w: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Donesena je Odluka o imenovanju zapovjednika, zamjenika zapovjednika i voditelja operativnih skupina postrojbe civilne za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štite,</w:t>
      </w: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Donesena je Odluka o imenovanju povjerenika i zamjenika povjerenika civilne za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štite,</w:t>
      </w: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Donesena je analiza stanja sustava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za 2019.g.,</w:t>
      </w: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 je Godi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šnji plan razvoja sustava civilne zaštite s financijskim učincima za trogodišnje razdoblje,</w:t>
      </w: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Donesene su Smjernice za organizaciju i razvoj sustava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za razdoblje 2020-2021.g.,</w:t>
      </w:r>
    </w:p>
    <w:p>
      <w:pPr>
        <w:numPr>
          <w:ilvl w:val="0"/>
          <w:numId w:val="13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 je Plan operativne provedbe programa aktivnosti u provedbi posebnih mjera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od požara u 2019.g.,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5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CIVILNA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ŠTITA: (stožer civilne zaštite,  POSTROJBA CZ opće namjene)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748"/>
        <w:gridCol w:w="2701"/>
      </w:tblGrid>
      <w:tr>
        <w:trPr>
          <w:trHeight w:val="269" w:hRule="auto"/>
          <w:jc w:val="center"/>
        </w:trPr>
        <w:tc>
          <w:tcPr>
            <w:tcW w:w="57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FUNKCIJA</w:t>
            </w:r>
          </w:p>
        </w:tc>
        <w:tc>
          <w:tcPr>
            <w:tcW w:w="2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IME I PREZIME</w:t>
            </w:r>
          </w:p>
        </w:tc>
      </w:tr>
      <w:tr>
        <w:trPr>
          <w:trHeight w:val="269" w:hRule="auto"/>
          <w:jc w:val="center"/>
        </w:trPr>
        <w:tc>
          <w:tcPr>
            <w:tcW w:w="57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čelnik Stožera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Mario Joski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 </w:t>
            </w:r>
          </w:p>
        </w:tc>
      </w:tr>
      <w:tr>
        <w:trPr>
          <w:trHeight w:val="1" w:hRule="atLeast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Zamjenik 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čelnika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Josip Mati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</w:tr>
      <w:tr>
        <w:trPr>
          <w:trHeight w:val="334" w:hRule="auto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Član Stožera za protupožarnu zaštitu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Martin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Živić </w:t>
            </w:r>
          </w:p>
        </w:tc>
      </w:tr>
      <w:tr>
        <w:trPr>
          <w:trHeight w:val="1" w:hRule="atLeast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Član stožera za komunalne djelatnosti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Frano Tomas</w:t>
            </w:r>
          </w:p>
        </w:tc>
      </w:tr>
      <w:tr>
        <w:trPr>
          <w:trHeight w:val="1" w:hRule="atLeast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Predstavnik Policijske uprave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Ilija Lu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čić</w:t>
            </w:r>
          </w:p>
        </w:tc>
      </w:tr>
      <w:tr>
        <w:trPr>
          <w:trHeight w:val="498" w:hRule="auto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Predstavnik Podru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čnog ureda za zaštitu i spašavanje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Pavo Bari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čić</w:t>
            </w:r>
          </w:p>
        </w:tc>
      </w:tr>
      <w:tr>
        <w:trPr>
          <w:trHeight w:val="707" w:hRule="auto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Član Stožera za medicinsko zbrinjavanje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Dr. Darko Lackovi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Član Stožera za veterinarsko zbrinjavanje i asanaciju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Dr. vet. med. Eugen Cvitan</w:t>
            </w:r>
          </w:p>
        </w:tc>
      </w:tr>
      <w:tr>
        <w:trPr>
          <w:trHeight w:val="1" w:hRule="atLeast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Član Stožera za zbrinjavanje stanovništva i  evakuaciju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Ivan Lu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čić</w:t>
            </w:r>
          </w:p>
        </w:tc>
      </w:tr>
      <w:tr>
        <w:trPr>
          <w:trHeight w:val="1" w:hRule="atLeast"/>
          <w:jc w:val="center"/>
        </w:trPr>
        <w:tc>
          <w:tcPr>
            <w:tcW w:w="5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Član Stožera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zapovjednik postrojbe CZ 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namjene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Damir Kova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čević 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žano je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sjednice stožera civilne zaštite na kojima se raspravljalo o stanju sustava civilne zaštite na području općine.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Postrojba civilne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štite opće namjene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Sukladno Procjeni rizika od velikih nesre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 i Odluci o sastavu i strukturi postrojbe civilne zaštite ustrojen je postrojba civilne zaštite opće namjene koji broji 20 (dvadeset) obveznika.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07" w:dyaOrig="6924">
          <v:rect xmlns:o="urn:schemas-microsoft-com:office:office" xmlns:v="urn:schemas-microsoft-com:vml" id="rectole0000000000" style="width:440.350000pt;height:346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đeno 4 (četiri) teklića za poslove mobilizacije snaga civilne zaštite.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Povjerenici civilne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đeni su povjerenici civilne zaštite za 2 (dva) mjesna odbora.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738"/>
        <w:gridCol w:w="1508"/>
        <w:gridCol w:w="1564"/>
        <w:gridCol w:w="1984"/>
        <w:gridCol w:w="1701"/>
      </w:tblGrid>
      <w:tr>
        <w:trPr>
          <w:trHeight w:val="242" w:hRule="auto"/>
          <w:jc w:val="center"/>
        </w:trPr>
        <w:tc>
          <w:tcPr>
            <w:tcW w:w="2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Naselje</w:t>
            </w: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  stanovnika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Povjerenici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Zamjenici povjerenika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Ukupno</w:t>
            </w:r>
          </w:p>
        </w:tc>
      </w:tr>
      <w:tr>
        <w:trPr>
          <w:trHeight w:val="498" w:hRule="auto"/>
          <w:jc w:val="center"/>
        </w:trPr>
        <w:tc>
          <w:tcPr>
            <w:tcW w:w="2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19" w:line="240"/>
              <w:ind w:right="0" w:left="72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Jaruge</w:t>
            </w: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695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42" w:hRule="auto"/>
          <w:jc w:val="center"/>
        </w:trPr>
        <w:tc>
          <w:tcPr>
            <w:tcW w:w="2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Sikirevci</w:t>
            </w: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1 781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PREVENTIVA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 je Plan djelovanja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štite.</w:t>
      </w:r>
    </w:p>
    <w:p>
      <w:pPr>
        <w:numPr>
          <w:ilvl w:val="0"/>
          <w:numId w:val="18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 je Plan djelovanja u podru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čju prirodnih nepogoda.</w:t>
      </w:r>
    </w:p>
    <w:p>
      <w:pPr>
        <w:numPr>
          <w:ilvl w:val="0"/>
          <w:numId w:val="18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Donesen je operativni postupovnik.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Plan djelovanja civilne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2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 djelovanja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sastoji se od općeg i posebnih dijelova.</w:t>
      </w:r>
    </w:p>
    <w:p>
      <w:pPr>
        <w:spacing w:before="100" w:after="10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 dio sadrži: 1./ Upozoravanje 2./ Pripravnost 3./ Mobilizaciju (aktiviranje) i narastanje operativnih snaga sustava civilne zaštite. 4./ Opis područja odgovornosti nositelja izrade plana 5./ Grafički dio.</w:t>
      </w:r>
    </w:p>
    <w:p>
      <w:pPr>
        <w:spacing w:before="100" w:after="10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Posebni dijelovi plana djelovanja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sadrže razradu operativnog djelovanja sustava civilne zaštite tijekom reagiranja u velikim nesrećama i katastrofama. </w:t>
      </w:r>
    </w:p>
    <w:p>
      <w:pPr>
        <w:spacing w:before="100" w:after="10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Uvijek kada je mogu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će (raspoloživo) i prikladno u planu djelovanja civilne zaštite trebaju se koristiti grafički prikazi, tablice i slike, uključujući grafikone, karte i fotografije.</w:t>
      </w:r>
    </w:p>
    <w:p>
      <w:pPr>
        <w:numPr>
          <w:ilvl w:val="0"/>
          <w:numId w:val="194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Plan djelovanja u podru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čju prirodnih nepogoda</w:t>
      </w:r>
    </w:p>
    <w:p>
      <w:pPr>
        <w:spacing w:before="0" w:after="135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 djelovanja sadr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žava:</w:t>
      </w:r>
    </w:p>
    <w:p>
      <w:pPr>
        <w:spacing w:before="0" w:after="135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popis mjera i nositelja mjera u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čaju nastajanja prirodne nepogode</w:t>
      </w:r>
    </w:p>
    <w:p>
      <w:pPr>
        <w:spacing w:before="0" w:after="135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procjene osiguranja opreme i drugih sredstava za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štitu i sprječavanje stradanja imovine, gospodarskih funkcija i stradanja stanovništva</w:t>
      </w:r>
    </w:p>
    <w:p>
      <w:pPr>
        <w:spacing w:before="0" w:after="135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sve druge mjere koje uklju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čuju suradnju s nadležnim tijelima iz ovoga Zakona i/ili drugih tijela, znanstvenih ustanova i stručnjaka za područje prirodnih nepogoda.</w:t>
      </w:r>
    </w:p>
    <w:p>
      <w:pPr>
        <w:numPr>
          <w:ilvl w:val="0"/>
          <w:numId w:val="197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Operativni postupovnik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Operativnim postupovnikom definiraju se sve pojedinosti od 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čaja za pripravnost, mobilizaciju, operativno djelovanje, demobilizaciju i završetak djelovanja postrojbe civilne zaštite.</w:t>
      </w:r>
    </w:p>
    <w:p>
      <w:pPr>
        <w:spacing w:before="0" w:after="4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čela djelovanja postrojbi civilne zaštite su:</w:t>
      </w:r>
    </w:p>
    <w:p>
      <w:pPr>
        <w:numPr>
          <w:ilvl w:val="0"/>
          <w:numId w:val="200"/>
        </w:numPr>
        <w:spacing w:before="0" w:after="0" w:line="240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samodostatnost,</w:t>
      </w:r>
    </w:p>
    <w:p>
      <w:pPr>
        <w:numPr>
          <w:ilvl w:val="0"/>
          <w:numId w:val="200"/>
        </w:numPr>
        <w:spacing w:before="0" w:after="0" w:line="240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modularnost,</w:t>
      </w:r>
    </w:p>
    <w:p>
      <w:pPr>
        <w:numPr>
          <w:ilvl w:val="0"/>
          <w:numId w:val="200"/>
        </w:numPr>
        <w:spacing w:before="0" w:after="0" w:line="240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interoperabilnost.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2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VATROGASTVO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DVD Sikirevci, sukladno njihovim vlastitim programima i razvojnim projektima,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u Prora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čunu osigurati sredstva za:</w:t>
      </w:r>
    </w:p>
    <w:p>
      <w:pPr>
        <w:numPr>
          <w:ilvl w:val="0"/>
          <w:numId w:val="20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nabavku vatrogasne opreme - koje i vozila - kakvih; </w:t>
      </w:r>
    </w:p>
    <w:p>
      <w:pPr>
        <w:numPr>
          <w:ilvl w:val="0"/>
          <w:numId w:val="20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razvoj kadrovskih kapaciteta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eventualno uposlenje novih vatrogasaca i broj vatrogasaca koje planirate za polaganje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čnog ispita; </w:t>
      </w:r>
    </w:p>
    <w:p>
      <w:pPr>
        <w:numPr>
          <w:ilvl w:val="0"/>
          <w:numId w:val="20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planirane vje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koje, gdje, kada i planirani tro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škovi; </w:t>
      </w:r>
    </w:p>
    <w:p>
      <w:pPr>
        <w:numPr>
          <w:ilvl w:val="0"/>
          <w:numId w:val="20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sustav organizacije i djelovanja -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žurstva, preseljenja i sl.).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UDRUGE GRA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ĐANA OD ZNAČAJA ZA SUSTAV CIVILNE ZAŠTITE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Udruge gra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đana predstavljaju značajan potencijal Općine. Članove udruga je potrebno uključiti u one segmente sustava civilne zaštite obzirom na područje rada za koje su osnovani. Udruge koje funkcioniraju imaju utvrđen ustroj, poznati su im potencijali članova, u redovitoj djelatnosti okupljaju se oko zajedničkih ciljeva, imaju iskustva u organizaciji i dr.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Udruge gra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đana:</w:t>
      </w:r>
    </w:p>
    <w:p>
      <w:pPr>
        <w:numPr>
          <w:ilvl w:val="0"/>
          <w:numId w:val="209"/>
        </w:num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 društvo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čar“ Sikirevci,</w:t>
      </w:r>
    </w:p>
    <w:p>
      <w:pPr>
        <w:numPr>
          <w:ilvl w:val="0"/>
          <w:numId w:val="209"/>
        </w:num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Športsko ribolovni klub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Sikirevci,</w:t>
      </w:r>
    </w:p>
    <w:p>
      <w:pPr>
        <w:numPr>
          <w:ilvl w:val="0"/>
          <w:numId w:val="209"/>
        </w:num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Športsko ribolovni klub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Jaruge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OPERATIVNE SNAGE SUSTAVA CIVILNE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ŠTITE I PRAVNE OSOBE OD INTERESA ZA SUSTAV CIVILNE ZAŠTITE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6.1. Operativne snage sustava civilne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štite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žer civilne zaštite</w:t>
      </w: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Postrojba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opće namjene</w:t>
      </w: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Povjerenici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štite </w:t>
      </w: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Dobrovoljno vatrogasno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Sikirevci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Dobrovoljno vatrogasno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Jaruge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6.2. Pravne osobe od interesa za sustav civilne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Veterinarska ambulanta Cvitan d.o.o.,Ljudevita Gaja 20, Sikirevci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Zaklju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čak o stanju sustava civilne zaštite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7.1. Za podru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čje preventive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Nakon vrednovanja pojedinih kategorija koji 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đuju spremnost sustava civilne zaštite u području preventive donosi se konačna ocjena u pogledu sposobnosti provođenje preventivnih mjera. Kategorije u području preventive su ocijenjene kako je prikazano u narednoj tablici.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250" w:type="dxa"/>
      </w:tblPr>
      <w:tblGrid>
        <w:gridCol w:w="5528"/>
        <w:gridCol w:w="2029"/>
        <w:gridCol w:w="1481"/>
      </w:tblGrid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Sastavnice/aktivnosti  sustava civilne za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područje preventive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čana ocjena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Ocjena</w:t>
            </w:r>
          </w:p>
        </w:tc>
      </w:tr>
      <w:tr>
        <w:trPr>
          <w:trHeight w:val="70" w:hRule="auto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strategija, normativno ure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đenje i planovi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sustav javnog uzbunjivanja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stanje svijesti o prioritetnim rizicima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Vrlo 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prostorno planiranje i legalizacija gra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đevina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Vrlo 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ocjena fiskalne situacije i njene perspektive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70" w:hRule="auto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ocjena stanja baza podataka i podloga za potrebe planiranja reagiranja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70" w:hRule="auto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Ukupna ocjena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čna ocjena je srednja vrijednost ocijenjenih kategorija zaokružena na najbliži cijeli broj. U skladu s navedenim konačna ocjena spremnosti Općine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u području preventive je 3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 niska spremnost.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Da bi se spremnost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štite u području preventive potrebno je provoditi ili dodatno unaprjeđivati njegove sastavnice koje se ocjenjene ocjenom 4 (vrlo niska spremnost) i 3 (niska spremnost). U ovom slučaju to su sastavnice sustava koje se odnose na stanje svijesti o prioritetnim rizicima i stanje fiskalne situacije i njene perspektive.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Da bi se sastavnice sustava koje se odnose na stanje svijesti o prioritetnim rizicima i stanja fiskalne situacije unaprijedila potrebno je: </w:t>
      </w:r>
    </w:p>
    <w:p>
      <w:pPr>
        <w:numPr>
          <w:ilvl w:val="0"/>
          <w:numId w:val="24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sazivati Sto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žer CZ i onda kada povod nije nekakav štetni događaj u cilju upoznavanja članova o utvrđenim prijetnjama i mjerama odgovora na iste, štetama izazvanim u proteklom periodu te mjerama kako su se one mogle spriječiti ili bar ublažit,</w:t>
      </w:r>
    </w:p>
    <w:p>
      <w:pPr>
        <w:numPr>
          <w:ilvl w:val="0"/>
          <w:numId w:val="24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predstavni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>
      <w:pPr>
        <w:numPr>
          <w:ilvl w:val="0"/>
          <w:numId w:val="24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 ugro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ženim naseljima organizirane javne tribine o prijetnjama, mogućim posljedicama neželjenog događaja, te načinu samozaštite ugroženog stanovništva,</w:t>
      </w:r>
    </w:p>
    <w:p>
      <w:pPr>
        <w:numPr>
          <w:ilvl w:val="0"/>
          <w:numId w:val="24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jednom godi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šnje ili najmanje jedanput u dvije godine  organizirati vježbe sklanjanja, evakuacije i spašavanja stanovništva iz ugroženih područja,</w:t>
      </w:r>
    </w:p>
    <w:p>
      <w:pPr>
        <w:numPr>
          <w:ilvl w:val="0"/>
          <w:numId w:val="24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planirati financijska sredstva za provedbu mjera reagiranja u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čaju prijetnje velikom nesrećom i sredstva za povrat u funkciju ugroženog područja.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7.2. Za podru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čje reagiranja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Nakon vrednovanja pojedinih kategorija koji 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đuju spremnost sustava civilne zaštite u području preventive donosi se konačna ocjena u pogledu sposobnosti reagiranja. Kategorije u području reagiranja su ocijenjene kako je prikazano u narednoj tablici.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567"/>
        <w:gridCol w:w="2336"/>
        <w:gridCol w:w="1385"/>
      </w:tblGrid>
      <w:tr>
        <w:trPr>
          <w:trHeight w:val="1" w:hRule="atLeast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Sastavnice/aktivnosti  sustava civilne za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područje reagiranja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čana ocjena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Ocjena</w:t>
            </w:r>
          </w:p>
        </w:tc>
      </w:tr>
      <w:tr>
        <w:trPr>
          <w:trHeight w:val="70" w:hRule="auto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spremnost odgovornih i upravlja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čkih kapaciteta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spremnost operativnih kapaciteta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358" w:hRule="auto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stanje mobilnosti operativnih kapaciteta sustava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i stanja komunikacijskih kapaciteta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Vrlo niska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58" w:hRule="auto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Ukupna ocjena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čna ocjena je srednja vrijednost ocijenjenih kategorija zaokružena na najbliži cijeli broj. U skladu s navedenim konačna ocjena spremnosti Općine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u području reagiranja je 3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 niska spremnost.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Da bi se spremnost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štite u području reagiranja potrebno je provoditi ili dodatno unaprjeđivati njegove sastavnice koja je ocjenjena ocjenom 4 (vrlo niska spremnost) i ocjenom 3 (niska spremnost). U ovom slučaju to je sastavnica sustava koja se odnosi na stanje mobilnosti operativnih kapaciteta sustava civilne zaštite i stanja komunikacijskih kapaciteta.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Da bi se sastavnica sustava koja se odnosi na stanje mobilnosti operativnih kapaciteta sustava civilne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štite i stanja komunikacijskih kapaciteta unaprijedila potrebno je:</w:t>
      </w:r>
    </w:p>
    <w:p>
      <w:pPr>
        <w:numPr>
          <w:ilvl w:val="0"/>
          <w:numId w:val="26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izvr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šiti analizu potreba vlastitih operativnih snaga za satelitskim mobilnim telefonima i mobilnim radio uređajima i planirati financijska sredstva za njihovu nabavu,</w:t>
      </w:r>
    </w:p>
    <w:p>
      <w:pPr>
        <w:numPr>
          <w:ilvl w:val="0"/>
          <w:numId w:val="26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obzirom da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>
      <w:pPr>
        <w:numPr>
          <w:ilvl w:val="0"/>
          <w:numId w:val="26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7.3. Za podru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čje sustava civilne zaštite jedinice lokalne samouprave u cjelini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Nakon vrednovanja pojedinih kategorija koji 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đuju spremnost sustava civilne zaštite u cjelini (preventiva i reagiranje) donosi se konačna ocjena kako je prikazano u narednoj tablici.</w:t>
      </w:r>
    </w:p>
    <w:tbl>
      <w:tblPr/>
      <w:tblGrid>
        <w:gridCol w:w="5257"/>
        <w:gridCol w:w="2177"/>
        <w:gridCol w:w="1371"/>
      </w:tblGrid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Sastavnice/aktivnosti  sustava civilne za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čana ocjena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Ocjena</w:t>
            </w:r>
          </w:p>
        </w:tc>
      </w:tr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Podru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čje preventive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Podru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čje reagiranja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Zbirna ocjena spremnosti civilne za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čna ocjena je srednja vrijednost ocijenjenih kategorija zaokružena na najbliži cijeli broj. U skladu s navedenim konačna ocjena spremnosti Općine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u području spremnosti civilne zaštite u cjelini je 3 - niska spremnost.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IZVOD IZ PRORA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FF" w:val="clear"/>
        </w:rPr>
        <w:t xml:space="preserve">ČUNA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o visini osiguranih sredstava za organizaciju i razvoj sustava civilne za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štite u 2019. godini</w:t>
      </w:r>
    </w:p>
    <w:tbl>
      <w:tblPr/>
      <w:tblGrid>
        <w:gridCol w:w="675"/>
        <w:gridCol w:w="3828"/>
        <w:gridCol w:w="2126"/>
        <w:gridCol w:w="2126"/>
      </w:tblGrid>
      <w:tr>
        <w:trPr>
          <w:trHeight w:val="1" w:hRule="atLeast"/>
          <w:jc w:val="center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Red  broj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OPIS POZICIJE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REALIZIRANO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 2019. god. (kn)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PLANIRANO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 2020. god. (kn)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ŽER CIVILNE ZAŠTITE I POSTROJBE CZ (opće namjene)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-osiguranje uvjeta za evakuaciju, zbrinjavanje, sklanjanje i druge aktivnosti i mjere u sustavu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-Sto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žer civilne zaštite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odore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-Postrojba  CZ 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namjene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odore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-Poslovi civilne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3.636,30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6.500,00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-Procjena rizika, Plan za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vje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žba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555" w:hRule="auto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-Smotriranje postrojbe 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namjene i vježba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825" w:hRule="auto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redovno teku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ažuriranje priloga i podataka iz sadržaja dokumenata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Čl. 17 st. 3. zakona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11.375,00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10.500,00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15.011,30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42.000,00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VATROGASTVO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-Dobrovoljne vatrogasne postrojbe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21.350,00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-Vatrogasna zapovjedni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štva Općine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-Procjena ugro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ženosti i Plan zaštite od požara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81.350,00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SKLONI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ŠTA (prostori za sklanjanje) 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-Teku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održavanje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UDRUGE GRA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ĐANA  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LD Grani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čar Sikirevci                                          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30.000,00</w:t>
            </w:r>
          </w:p>
        </w:tc>
      </w:tr>
      <w:tr>
        <w:trPr>
          <w:trHeight w:val="540" w:hRule="auto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RD "Smu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đ"Sikirevci  i RD "Grgeč" Jaruge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59.000,00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45.000,00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SLU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ŽBE I PRAVNE OSOBE (kojima je zaštita i spašavanje redovna djelatnost)</w:t>
            </w:r>
          </w:p>
        </w:tc>
      </w:tr>
      <w:tr>
        <w:trPr>
          <w:trHeight w:val="225" w:hRule="auto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HGSS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6.000,00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45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SVEUKUPNO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 SUSTAV CIVILNE ZA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160.361,30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193.000,00</w:t>
            </w:r>
          </w:p>
        </w:tc>
      </w:tr>
    </w:tbl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Ova Analiza objavit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će se na službenim stranicama općine Sikirevci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www.opcina-sikirevci.hr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BRODSKO-POSAVSKA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ŽUPANIJA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ĆINA SIKIREVCI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-5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FFFFFF" w:val="clear"/>
        </w:rPr>
        <w:t xml:space="preserve">Klasa: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FFFFFF" w:val="clear"/>
        </w:rPr>
        <w:t xml:space="preserve">8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FFFFFF" w:val="clear"/>
        </w:rPr>
        <w:t xml:space="preserve">10-01/20-01/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FFFFFF" w:val="clear"/>
        </w:rPr>
        <w:t xml:space="preserve">02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FFFFFF" w:val="clear"/>
        </w:rPr>
        <w:tab/>
        <w:tab/>
        <w:tab/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FFFFFF" w:val="clear"/>
        </w:rPr>
        <w:t xml:space="preserve">Urbroj: 2178/26-02-20-01</w:t>
      </w:r>
    </w:p>
    <w:p>
      <w:pPr>
        <w:tabs>
          <w:tab w:val="left" w:pos="698" w:leader="underscore"/>
        </w:tabs>
        <w:spacing w:before="0" w:after="0" w:line="240"/>
        <w:ind w:right="0" w:left="1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Sikirevci,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02.o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žujak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2020.g.</w:t>
        <w:tab/>
        <w:tab/>
        <w:tab/>
        <w:t xml:space="preserve"> </w:t>
      </w:r>
    </w:p>
    <w:p>
      <w:pPr>
        <w:tabs>
          <w:tab w:val="left" w:pos="698" w:leader="underscore"/>
        </w:tabs>
        <w:spacing w:before="0" w:after="0" w:line="240"/>
        <w:ind w:right="0" w:left="1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                                                                                                      Predsjednik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ćinskog vijeća:</w:t>
      </w:r>
    </w:p>
    <w:p>
      <w:pPr>
        <w:tabs>
          <w:tab w:val="left" w:pos="698" w:leader="underscore"/>
        </w:tabs>
        <w:spacing w:before="0" w:after="0" w:line="240"/>
        <w:ind w:right="0" w:left="14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Josip Mati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ć, v.r.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num w:numId="27">
    <w:abstractNumId w:val="114"/>
  </w:num>
  <w:num w:numId="98">
    <w:abstractNumId w:val="108"/>
  </w:num>
  <w:num w:numId="130">
    <w:abstractNumId w:val="102"/>
  </w:num>
  <w:num w:numId="133">
    <w:abstractNumId w:val="96"/>
  </w:num>
  <w:num w:numId="135">
    <w:abstractNumId w:val="90"/>
  </w:num>
  <w:num w:numId="173">
    <w:abstractNumId w:val="84"/>
  </w:num>
  <w:num w:numId="187">
    <w:abstractNumId w:val="78"/>
  </w:num>
  <w:num w:numId="189">
    <w:abstractNumId w:val="72"/>
  </w:num>
  <w:num w:numId="192">
    <w:abstractNumId w:val="66"/>
  </w:num>
  <w:num w:numId="194">
    <w:abstractNumId w:val="60"/>
  </w:num>
  <w:num w:numId="197">
    <w:abstractNumId w:val="54"/>
  </w:num>
  <w:num w:numId="200">
    <w:abstractNumId w:val="48"/>
  </w:num>
  <w:num w:numId="202">
    <w:abstractNumId w:val="42"/>
  </w:num>
  <w:num w:numId="204">
    <w:abstractNumId w:val="36"/>
  </w:num>
  <w:num w:numId="206">
    <w:abstractNumId w:val="30"/>
  </w:num>
  <w:num w:numId="209">
    <w:abstractNumId w:val="24"/>
  </w:num>
  <w:num w:numId="211">
    <w:abstractNumId w:val="18"/>
  </w:num>
  <w:num w:numId="216">
    <w:abstractNumId w:val="12"/>
  </w:num>
  <w:num w:numId="247">
    <w:abstractNumId w:val="6"/>
  </w:num>
  <w:num w:numId="2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opcina-sikirevci.hr/" Id="docRId2" Type="http://schemas.openxmlformats.org/officeDocument/2006/relationships/hyperlink" /><Relationship Target="styles.xml" Id="docRId4" Type="http://schemas.openxmlformats.org/officeDocument/2006/relationships/styles" /></Relationships>
</file>